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3A253A" w:rsidRPr="007D7E0B" w:rsidTr="00AB72E0">
        <w:tc>
          <w:tcPr>
            <w:tcW w:w="8525" w:type="dxa"/>
            <w:gridSpan w:val="2"/>
            <w:tcBorders>
              <w:bottom w:val="single" w:sz="18" w:space="0" w:color="auto"/>
            </w:tcBorders>
          </w:tcPr>
          <w:p w:rsidR="003A253A" w:rsidRDefault="003A253A" w:rsidP="00AB72E0">
            <w:pPr>
              <w:pStyle w:val="Infotext"/>
              <w:rPr>
                <w:rFonts w:ascii="Arial Black" w:hAnsi="Arial Black"/>
                <w:color w:val="999999"/>
                <w:sz w:val="36"/>
                <w:szCs w:val="36"/>
              </w:rPr>
            </w:pPr>
          </w:p>
          <w:p w:rsidR="003A253A" w:rsidRDefault="00CB373D" w:rsidP="00AB72E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3A253A" w:rsidRDefault="003A253A" w:rsidP="00AB72E0">
            <w:pPr>
              <w:pStyle w:val="Infotext"/>
              <w:rPr>
                <w:rFonts w:ascii="Arial Black" w:hAnsi="Arial Black" w:cs="Arial"/>
                <w:sz w:val="36"/>
                <w:szCs w:val="36"/>
              </w:rPr>
            </w:pPr>
          </w:p>
        </w:tc>
      </w:tr>
      <w:tr w:rsidR="006A233E">
        <w:tc>
          <w:tcPr>
            <w:tcW w:w="3474" w:type="dxa"/>
            <w:tcBorders>
              <w:bottom w:val="single" w:sz="18" w:space="0" w:color="auto"/>
            </w:tcBorders>
          </w:tcPr>
          <w:p w:rsidR="006A233E" w:rsidRPr="00911565" w:rsidRDefault="00911565">
            <w:pPr>
              <w:pStyle w:val="Infotext"/>
              <w:rPr>
                <w:rFonts w:ascii="Arial Black" w:hAnsi="Arial Black"/>
                <w:color w:val="999999"/>
                <w:sz w:val="36"/>
                <w:szCs w:val="36"/>
              </w:rPr>
            </w:pPr>
            <w:r w:rsidRPr="00911565">
              <w:rPr>
                <w:rFonts w:ascii="Arial Black" w:hAnsi="Arial Black"/>
                <w:color w:val="999999"/>
                <w:sz w:val="36"/>
                <w:szCs w:val="36"/>
              </w:rPr>
              <w:t>R</w:t>
            </w:r>
            <w:r>
              <w:rPr>
                <w:rFonts w:ascii="Arial Black" w:hAnsi="Arial Black"/>
                <w:color w:val="999999"/>
                <w:sz w:val="36"/>
                <w:szCs w:val="36"/>
              </w:rPr>
              <w:t>EPORT FOR</w:t>
            </w:r>
            <w:r w:rsidR="006A233E" w:rsidRPr="00911565">
              <w:rPr>
                <w:rFonts w:ascii="Arial Black" w:hAnsi="Arial Black"/>
                <w:color w:val="999999"/>
                <w:sz w:val="36"/>
                <w:szCs w:val="36"/>
              </w:rPr>
              <w:t>:</w:t>
            </w:r>
          </w:p>
          <w:p w:rsidR="006A233E" w:rsidRPr="00911565" w:rsidRDefault="006A233E">
            <w:pPr>
              <w:pStyle w:val="Infotext"/>
              <w:rPr>
                <w:rFonts w:ascii="Arial Black" w:hAnsi="Arial Black" w:cs="Arial"/>
                <w:sz w:val="36"/>
                <w:szCs w:val="36"/>
              </w:rPr>
            </w:pPr>
          </w:p>
        </w:tc>
        <w:tc>
          <w:tcPr>
            <w:tcW w:w="5051" w:type="dxa"/>
            <w:tcBorders>
              <w:bottom w:val="single" w:sz="18" w:space="0" w:color="auto"/>
            </w:tcBorders>
          </w:tcPr>
          <w:p w:rsidR="006A233E" w:rsidRPr="00911565" w:rsidRDefault="00911565">
            <w:pPr>
              <w:pStyle w:val="Infotext"/>
              <w:rPr>
                <w:rFonts w:ascii="Arial Black" w:hAnsi="Arial Black" w:cs="Arial"/>
                <w:sz w:val="36"/>
                <w:szCs w:val="36"/>
              </w:rPr>
            </w:pPr>
            <w:r w:rsidRPr="00911565">
              <w:rPr>
                <w:rFonts w:ascii="Arial Black" w:hAnsi="Arial Black" w:cs="Arial"/>
                <w:sz w:val="36"/>
                <w:szCs w:val="36"/>
              </w:rPr>
              <w:t>LICENSING PANEL</w:t>
            </w:r>
          </w:p>
        </w:tc>
      </w:tr>
      <w:tr w:rsidR="006A233E">
        <w:tc>
          <w:tcPr>
            <w:tcW w:w="3474" w:type="dxa"/>
            <w:tcBorders>
              <w:top w:val="single" w:sz="18" w:space="0" w:color="auto"/>
            </w:tcBorders>
          </w:tcPr>
          <w:p w:rsidR="006A233E" w:rsidRPr="00911565" w:rsidRDefault="006A233E">
            <w:pPr>
              <w:pStyle w:val="Infotext"/>
              <w:rPr>
                <w:rFonts w:ascii="Arial Black" w:hAnsi="Arial Black"/>
              </w:rPr>
            </w:pPr>
            <w:r w:rsidRPr="00911565">
              <w:rPr>
                <w:rFonts w:ascii="Arial Black" w:hAnsi="Arial Black"/>
              </w:rPr>
              <w:t>Date</w:t>
            </w:r>
            <w:r w:rsidR="0002728A">
              <w:rPr>
                <w:rFonts w:ascii="Arial Black" w:hAnsi="Arial Black"/>
              </w:rPr>
              <w:t xml:space="preserve"> of Meeting</w:t>
            </w:r>
            <w:r w:rsidRPr="00911565">
              <w:rPr>
                <w:rFonts w:ascii="Arial Black" w:hAnsi="Arial Black"/>
              </w:rPr>
              <w:t>:</w:t>
            </w:r>
          </w:p>
          <w:p w:rsidR="006A233E" w:rsidRPr="00911565" w:rsidRDefault="006A233E">
            <w:pPr>
              <w:pStyle w:val="Infotext"/>
              <w:rPr>
                <w:rFonts w:ascii="Arial Black" w:hAnsi="Arial Black" w:cs="Arial"/>
              </w:rPr>
            </w:pPr>
          </w:p>
        </w:tc>
        <w:tc>
          <w:tcPr>
            <w:tcW w:w="5051" w:type="dxa"/>
            <w:tcBorders>
              <w:top w:val="single" w:sz="18" w:space="0" w:color="auto"/>
            </w:tcBorders>
          </w:tcPr>
          <w:p w:rsidR="006A233E" w:rsidRDefault="000443C5">
            <w:pPr>
              <w:pStyle w:val="Infotext"/>
              <w:rPr>
                <w:rFonts w:cs="Arial"/>
              </w:rPr>
            </w:pPr>
            <w:r>
              <w:rPr>
                <w:rFonts w:cs="Arial"/>
              </w:rPr>
              <w:t>18</w:t>
            </w:r>
            <w:r w:rsidR="00C302C5">
              <w:rPr>
                <w:rFonts w:cs="Arial"/>
              </w:rPr>
              <w:t xml:space="preserve"> June 2019</w:t>
            </w: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Subject:</w:t>
            </w:r>
          </w:p>
          <w:p w:rsidR="006A233E" w:rsidRPr="00911565" w:rsidRDefault="006A233E">
            <w:pPr>
              <w:pStyle w:val="Infotext"/>
              <w:rPr>
                <w:rFonts w:ascii="Arial Black" w:hAnsi="Arial Black"/>
              </w:rPr>
            </w:pPr>
          </w:p>
        </w:tc>
        <w:tc>
          <w:tcPr>
            <w:tcW w:w="5051" w:type="dxa"/>
          </w:tcPr>
          <w:p w:rsidR="009264CB" w:rsidRDefault="009264CB" w:rsidP="009264CB">
            <w:pPr>
              <w:pStyle w:val="Infotext"/>
            </w:pPr>
            <w:r>
              <w:t xml:space="preserve">Application for review of the premises licence for </w:t>
            </w:r>
            <w:r w:rsidR="000443C5">
              <w:t>C</w:t>
            </w:r>
            <w:r w:rsidR="003D0C99">
              <w:t>l</w:t>
            </w:r>
            <w:r w:rsidR="000443C5">
              <w:t>ub KTM, 32 Railway Approach, Wealdstone, HA3 5AA</w:t>
            </w:r>
          </w:p>
          <w:p w:rsidR="006A233E" w:rsidRDefault="006A233E">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Responsible Officer:</w:t>
            </w:r>
          </w:p>
          <w:p w:rsidR="006A233E" w:rsidRPr="00911565" w:rsidRDefault="006A233E">
            <w:pPr>
              <w:pStyle w:val="Infotext"/>
              <w:rPr>
                <w:rFonts w:ascii="Arial Black" w:hAnsi="Arial Black" w:cs="Arial"/>
              </w:rPr>
            </w:pPr>
          </w:p>
        </w:tc>
        <w:tc>
          <w:tcPr>
            <w:tcW w:w="5051" w:type="dxa"/>
          </w:tcPr>
          <w:p w:rsidR="009264CB" w:rsidRDefault="009264CB" w:rsidP="009264CB">
            <w:pPr>
              <w:pStyle w:val="Infotext"/>
              <w:rPr>
                <w:rFonts w:cs="Arial"/>
              </w:rPr>
            </w:pPr>
            <w:r>
              <w:rPr>
                <w:rFonts w:cs="Arial"/>
              </w:rPr>
              <w:t>Paul Walker – Corporate Director – Community Directorate</w:t>
            </w:r>
          </w:p>
          <w:p w:rsidR="002C0FCA" w:rsidRDefault="002C0FCA">
            <w:pPr>
              <w:pStyle w:val="Infotext"/>
              <w:rPr>
                <w:rFonts w:cs="Arial"/>
              </w:rPr>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Exempt:</w:t>
            </w:r>
          </w:p>
          <w:p w:rsidR="006A233E" w:rsidRPr="00911565" w:rsidRDefault="006A233E">
            <w:pPr>
              <w:pStyle w:val="Infotext"/>
              <w:rPr>
                <w:rFonts w:ascii="Arial Black" w:hAnsi="Arial Black" w:cs="Arial"/>
              </w:rPr>
            </w:pPr>
          </w:p>
        </w:tc>
        <w:tc>
          <w:tcPr>
            <w:tcW w:w="5051" w:type="dxa"/>
          </w:tcPr>
          <w:p w:rsidR="006A233E" w:rsidRDefault="006A233E">
            <w:pPr>
              <w:pStyle w:val="Infotext"/>
              <w:rPr>
                <w:rFonts w:cs="Arial"/>
              </w:rPr>
            </w:pPr>
            <w:r>
              <w:rPr>
                <w:rFonts w:cs="Arial"/>
              </w:rPr>
              <w:t>No</w:t>
            </w:r>
          </w:p>
          <w:p w:rsidR="006A233E" w:rsidRDefault="006A233E" w:rsidP="009264CB">
            <w:pPr>
              <w:pStyle w:val="Infotext"/>
              <w:rPr>
                <w:rFonts w:cs="Arial"/>
              </w:rPr>
            </w:pPr>
          </w:p>
        </w:tc>
      </w:tr>
      <w:tr w:rsidR="008652B2">
        <w:tc>
          <w:tcPr>
            <w:tcW w:w="3474" w:type="dxa"/>
          </w:tcPr>
          <w:p w:rsidR="008652B2" w:rsidRDefault="008652B2">
            <w:pPr>
              <w:pStyle w:val="Infotext"/>
              <w:rPr>
                <w:rFonts w:ascii="Arial Black" w:hAnsi="Arial Black" w:cs="Arial"/>
              </w:rPr>
            </w:pPr>
            <w:r>
              <w:rPr>
                <w:rFonts w:ascii="Arial Black" w:hAnsi="Arial Black" w:cs="Arial"/>
              </w:rPr>
              <w:t>Wards affected:</w:t>
            </w:r>
          </w:p>
          <w:p w:rsidR="008652B2" w:rsidRPr="00911565" w:rsidRDefault="008652B2">
            <w:pPr>
              <w:pStyle w:val="Infotext"/>
              <w:rPr>
                <w:rFonts w:ascii="Arial Black" w:hAnsi="Arial Black" w:cs="Arial"/>
              </w:rPr>
            </w:pPr>
          </w:p>
        </w:tc>
        <w:tc>
          <w:tcPr>
            <w:tcW w:w="5051" w:type="dxa"/>
          </w:tcPr>
          <w:p w:rsidR="008652B2" w:rsidRDefault="000443C5">
            <w:pPr>
              <w:pStyle w:val="Infotext"/>
            </w:pPr>
            <w:r>
              <w:t>Greenhill</w:t>
            </w:r>
          </w:p>
          <w:p w:rsidR="00587AB5" w:rsidRDefault="00587AB5" w:rsidP="009264CB">
            <w:pPr>
              <w:pStyle w:val="Infotext"/>
            </w:pPr>
          </w:p>
        </w:tc>
      </w:tr>
      <w:tr w:rsidR="006A233E">
        <w:tc>
          <w:tcPr>
            <w:tcW w:w="3474" w:type="dxa"/>
          </w:tcPr>
          <w:p w:rsidR="006A233E" w:rsidRPr="00911565" w:rsidRDefault="006A233E">
            <w:pPr>
              <w:pStyle w:val="Infotext"/>
              <w:rPr>
                <w:rFonts w:ascii="Arial Black" w:hAnsi="Arial Black" w:cs="Arial"/>
              </w:rPr>
            </w:pPr>
            <w:r w:rsidRPr="00911565">
              <w:rPr>
                <w:rFonts w:ascii="Arial Black" w:hAnsi="Arial Black" w:cs="Arial"/>
              </w:rPr>
              <w:t>Enclosures:</w:t>
            </w:r>
          </w:p>
          <w:p w:rsidR="006A233E" w:rsidRPr="00911565" w:rsidRDefault="006A233E">
            <w:pPr>
              <w:pStyle w:val="Infotext"/>
              <w:rPr>
                <w:rFonts w:ascii="Arial Black" w:hAnsi="Arial Black" w:cs="Arial"/>
              </w:rPr>
            </w:pPr>
          </w:p>
        </w:tc>
        <w:tc>
          <w:tcPr>
            <w:tcW w:w="5051" w:type="dxa"/>
          </w:tcPr>
          <w:p w:rsidR="00BB7A89" w:rsidRDefault="009264CB" w:rsidP="000443C5">
            <w:pPr>
              <w:pStyle w:val="Infotext"/>
            </w:pPr>
            <w:r>
              <w:t>Application for review (appendix 1)</w:t>
            </w:r>
            <w:r>
              <w:br/>
              <w:t>Location map and image (appendix 2 and 2a)</w:t>
            </w:r>
            <w:r>
              <w:br/>
              <w:t>Current premises licence</w:t>
            </w:r>
            <w:r w:rsidR="000443C5">
              <w:t xml:space="preserve">, </w:t>
            </w:r>
            <w:r>
              <w:t>plan</w:t>
            </w:r>
            <w:r w:rsidR="000443C5">
              <w:t xml:space="preserve"> and dispersal policy</w:t>
            </w:r>
            <w:r>
              <w:t xml:space="preserve"> (appendix 3)</w:t>
            </w:r>
            <w:r>
              <w:br/>
              <w:t>Representations (appendix 4)</w:t>
            </w:r>
          </w:p>
          <w:p w:rsidR="006A233E" w:rsidRDefault="0075644A" w:rsidP="0075644A">
            <w:pPr>
              <w:pStyle w:val="Infotext"/>
            </w:pPr>
            <w:r>
              <w:t>Relevant s</w:t>
            </w:r>
            <w:r w:rsidR="00BB7A89">
              <w:t xml:space="preserve">tatutory guidance re licensing objectives – (appendix 5) </w:t>
            </w:r>
            <w:r w:rsidR="009264CB">
              <w:br/>
            </w:r>
            <w:r w:rsidR="00BB7A89">
              <w:t>Relevant sections of l</w:t>
            </w:r>
            <w:r w:rsidR="009264CB">
              <w:t>icen</w:t>
            </w:r>
            <w:r w:rsidR="00BB7A89">
              <w:t>ce review guidelines from the licensing policy  (appendix 6</w:t>
            </w:r>
            <w:r w:rsidR="009264CB">
              <w:t>)</w:t>
            </w:r>
          </w:p>
        </w:tc>
      </w:tr>
    </w:tbl>
    <w:p w:rsidR="006A233E" w:rsidRDefault="006A233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034B71">
        <w:tc>
          <w:tcPr>
            <w:tcW w:w="8525" w:type="dxa"/>
            <w:tcBorders>
              <w:top w:val="nil"/>
              <w:left w:val="nil"/>
              <w:right w:val="nil"/>
            </w:tcBorders>
          </w:tcPr>
          <w:p w:rsidR="00034B71" w:rsidRDefault="00034B71" w:rsidP="00034B71">
            <w:pPr>
              <w:pStyle w:val="Heading1"/>
            </w:pPr>
            <w:r>
              <w:t>Section 1 – Summary</w:t>
            </w:r>
          </w:p>
          <w:p w:rsidR="00034B71" w:rsidRDefault="00034B71"/>
        </w:tc>
      </w:tr>
      <w:tr w:rsidR="006A233E">
        <w:tc>
          <w:tcPr>
            <w:tcW w:w="8525" w:type="dxa"/>
          </w:tcPr>
          <w:p w:rsidR="006A233E" w:rsidRDefault="006A233E"/>
          <w:p w:rsidR="006A233E" w:rsidRDefault="009264CB">
            <w:pPr>
              <w:pStyle w:val="Heading2"/>
            </w:pPr>
            <w:r>
              <w:rPr>
                <w:bCs w:val="0"/>
              </w:rPr>
              <w:t xml:space="preserve">An application has been received from </w:t>
            </w:r>
            <w:r w:rsidR="000443C5">
              <w:rPr>
                <w:bCs w:val="0"/>
              </w:rPr>
              <w:t xml:space="preserve">an </w:t>
            </w:r>
            <w:r w:rsidR="00897AD5">
              <w:rPr>
                <w:bCs w:val="0"/>
              </w:rPr>
              <w:t>‘</w:t>
            </w:r>
            <w:r w:rsidR="000443C5">
              <w:rPr>
                <w:bCs w:val="0"/>
              </w:rPr>
              <w:t>other person</w:t>
            </w:r>
            <w:r w:rsidR="00897AD5">
              <w:rPr>
                <w:bCs w:val="0"/>
              </w:rPr>
              <w:t xml:space="preserve">’ (i.e. a member of the public, not a responsible authority) </w:t>
            </w:r>
            <w:r w:rsidR="000443C5">
              <w:rPr>
                <w:bCs w:val="0"/>
              </w:rPr>
              <w:t xml:space="preserve"> </w:t>
            </w:r>
            <w:r>
              <w:rPr>
                <w:bCs w:val="0"/>
              </w:rPr>
              <w:t xml:space="preserve">to review the premises licence for </w:t>
            </w:r>
            <w:r w:rsidR="000443C5">
              <w:rPr>
                <w:bCs w:val="0"/>
              </w:rPr>
              <w:t>Club KTM, 32 Railway Approach, Wealdstone, HA3 5AA</w:t>
            </w:r>
            <w:r w:rsidR="00CA4255">
              <w:rPr>
                <w:bCs w:val="0"/>
              </w:rPr>
              <w:t xml:space="preserve">, </w:t>
            </w:r>
            <w:r>
              <w:rPr>
                <w:bCs w:val="0"/>
              </w:rPr>
              <w:t>on the grounds of the prevention of crime and disorder</w:t>
            </w:r>
            <w:r w:rsidR="00EC069A">
              <w:rPr>
                <w:bCs w:val="0"/>
              </w:rPr>
              <w:t xml:space="preserve">, public safety and the prevention of public </w:t>
            </w:r>
            <w:r w:rsidR="007D272A">
              <w:rPr>
                <w:bCs w:val="0"/>
              </w:rPr>
              <w:t>nuisance</w:t>
            </w:r>
            <w:r>
              <w:rPr>
                <w:bCs w:val="0"/>
              </w:rPr>
              <w:t>.</w:t>
            </w:r>
          </w:p>
          <w:p w:rsidR="006A233E" w:rsidRDefault="006A233E">
            <w:pPr>
              <w:jc w:val="both"/>
              <w:rPr>
                <w:rFonts w:cs="Arial"/>
              </w:rPr>
            </w:pPr>
          </w:p>
        </w:tc>
      </w:tr>
    </w:tbl>
    <w:p w:rsidR="003A253A" w:rsidRDefault="003A253A" w:rsidP="007D2AB0">
      <w:pPr>
        <w:pStyle w:val="Heading1"/>
        <w:jc w:val="both"/>
      </w:pPr>
    </w:p>
    <w:p w:rsidR="003A253A" w:rsidRDefault="003A253A" w:rsidP="007D2AB0">
      <w:pPr>
        <w:pStyle w:val="Heading1"/>
        <w:jc w:val="both"/>
      </w:pPr>
    </w:p>
    <w:p w:rsidR="007D2AB0" w:rsidRDefault="007D2AB0" w:rsidP="007D2AB0">
      <w:pPr>
        <w:pStyle w:val="Heading1"/>
        <w:jc w:val="both"/>
      </w:pPr>
      <w:r>
        <w:t>Representations received</w:t>
      </w:r>
    </w:p>
    <w:p w:rsidR="007D2AB0" w:rsidRDefault="007D2AB0" w:rsidP="007D2AB0"/>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9264CB" w:rsidTr="007B23C5">
        <w:trPr>
          <w:trHeight w:val="146"/>
        </w:trPr>
        <w:tc>
          <w:tcPr>
            <w:tcW w:w="4596" w:type="dxa"/>
          </w:tcPr>
          <w:p w:rsidR="009264CB" w:rsidRDefault="009264CB" w:rsidP="007B23C5">
            <w:pPr>
              <w:rPr>
                <w:b/>
              </w:rPr>
            </w:pPr>
            <w:r>
              <w:rPr>
                <w:b/>
              </w:rPr>
              <w:t>From</w:t>
            </w:r>
          </w:p>
        </w:tc>
        <w:tc>
          <w:tcPr>
            <w:tcW w:w="5010" w:type="dxa"/>
          </w:tcPr>
          <w:p w:rsidR="009264CB" w:rsidRDefault="009264CB" w:rsidP="007B23C5">
            <w:pPr>
              <w:rPr>
                <w:b/>
                <w:bCs/>
              </w:rPr>
            </w:pPr>
            <w:r>
              <w:rPr>
                <w:b/>
                <w:bCs/>
              </w:rPr>
              <w:t>Representations details</w:t>
            </w:r>
          </w:p>
          <w:p w:rsidR="009264CB" w:rsidRDefault="009264CB" w:rsidP="007B23C5">
            <w:pPr>
              <w:rPr>
                <w:bCs/>
              </w:rPr>
            </w:pPr>
          </w:p>
        </w:tc>
      </w:tr>
      <w:tr w:rsidR="009264CB" w:rsidTr="007B23C5">
        <w:trPr>
          <w:trHeight w:val="146"/>
        </w:trPr>
        <w:tc>
          <w:tcPr>
            <w:tcW w:w="4596" w:type="dxa"/>
            <w:vAlign w:val="center"/>
          </w:tcPr>
          <w:p w:rsidR="009264CB" w:rsidRDefault="009264CB" w:rsidP="007B23C5">
            <w:r>
              <w:t xml:space="preserve">The Planning Authority </w:t>
            </w:r>
          </w:p>
        </w:tc>
        <w:tc>
          <w:tcPr>
            <w:tcW w:w="5010" w:type="dxa"/>
            <w:vAlign w:val="center"/>
          </w:tcPr>
          <w:p w:rsidR="009264CB" w:rsidRDefault="009264CB" w:rsidP="007B23C5">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Health &amp; Safety </w:t>
            </w:r>
          </w:p>
        </w:tc>
        <w:tc>
          <w:tcPr>
            <w:tcW w:w="5010" w:type="dxa"/>
            <w:vAlign w:val="center"/>
          </w:tcPr>
          <w:p w:rsidR="009264CB" w:rsidRPr="007262E4" w:rsidRDefault="009264CB" w:rsidP="007B23C5">
            <w:pPr>
              <w:rPr>
                <w:b/>
              </w:rPr>
            </w:pPr>
            <w:r>
              <w:rPr>
                <w:bCs/>
              </w:rPr>
              <w:t>No representations received</w:t>
            </w:r>
          </w:p>
        </w:tc>
      </w:tr>
      <w:tr w:rsidR="009264CB" w:rsidTr="007B23C5">
        <w:trPr>
          <w:trHeight w:val="146"/>
        </w:trPr>
        <w:tc>
          <w:tcPr>
            <w:tcW w:w="4596" w:type="dxa"/>
            <w:vAlign w:val="center"/>
          </w:tcPr>
          <w:p w:rsidR="009264CB" w:rsidRPr="00181C5C" w:rsidRDefault="009264CB" w:rsidP="007B23C5">
            <w:r w:rsidRPr="00181C5C">
              <w:t xml:space="preserve">Environmental Health </w:t>
            </w:r>
          </w:p>
        </w:tc>
        <w:tc>
          <w:tcPr>
            <w:tcW w:w="5010" w:type="dxa"/>
            <w:vAlign w:val="center"/>
          </w:tcPr>
          <w:p w:rsidR="009264CB" w:rsidRPr="00B31392" w:rsidRDefault="00897AD5" w:rsidP="007B23C5">
            <w:pPr>
              <w:pStyle w:val="Heading7"/>
              <w:rPr>
                <w:b/>
                <w:bCs/>
                <w:i w:val="0"/>
              </w:rPr>
            </w:pPr>
            <w:r>
              <w:t>Two r</w:t>
            </w:r>
            <w:r w:rsidR="000443C5">
              <w:t>epresentation</w:t>
            </w:r>
            <w:r>
              <w:t>s</w:t>
            </w:r>
            <w:r w:rsidR="000443C5">
              <w:t xml:space="preserve"> received</w:t>
            </w:r>
          </w:p>
        </w:tc>
      </w:tr>
      <w:tr w:rsidR="009264CB" w:rsidTr="007B23C5">
        <w:trPr>
          <w:trHeight w:val="146"/>
        </w:trPr>
        <w:tc>
          <w:tcPr>
            <w:tcW w:w="4596" w:type="dxa"/>
            <w:vAlign w:val="center"/>
          </w:tcPr>
          <w:p w:rsidR="009264CB" w:rsidRDefault="009264CB" w:rsidP="007B23C5">
            <w:r>
              <w:t xml:space="preserve">Trading Standards </w:t>
            </w:r>
          </w:p>
        </w:tc>
        <w:tc>
          <w:tcPr>
            <w:tcW w:w="5010" w:type="dxa"/>
            <w:vAlign w:val="center"/>
          </w:tcPr>
          <w:p w:rsidR="009264CB" w:rsidRDefault="003B1D56" w:rsidP="007B23C5">
            <w:r>
              <w:t>No representations received</w:t>
            </w:r>
          </w:p>
        </w:tc>
      </w:tr>
      <w:tr w:rsidR="009264CB" w:rsidTr="007B23C5">
        <w:trPr>
          <w:trHeight w:val="146"/>
        </w:trPr>
        <w:tc>
          <w:tcPr>
            <w:tcW w:w="4596" w:type="dxa"/>
            <w:vAlign w:val="center"/>
          </w:tcPr>
          <w:p w:rsidR="009264CB" w:rsidRDefault="009264CB" w:rsidP="007B23C5">
            <w:r>
              <w:t>Area Child Protection Service</w:t>
            </w:r>
          </w:p>
        </w:tc>
        <w:tc>
          <w:tcPr>
            <w:tcW w:w="5010" w:type="dxa"/>
            <w:vAlign w:val="center"/>
          </w:tcPr>
          <w:p w:rsidR="009264CB" w:rsidRDefault="009264CB" w:rsidP="007B23C5">
            <w:r>
              <w:t>No representations received</w:t>
            </w:r>
          </w:p>
        </w:tc>
      </w:tr>
      <w:tr w:rsidR="009264CB" w:rsidTr="007B23C5">
        <w:trPr>
          <w:trHeight w:val="355"/>
        </w:trPr>
        <w:tc>
          <w:tcPr>
            <w:tcW w:w="4596" w:type="dxa"/>
            <w:vAlign w:val="center"/>
          </w:tcPr>
          <w:p w:rsidR="009264CB" w:rsidRDefault="009264CB" w:rsidP="007B23C5">
            <w:r>
              <w:t xml:space="preserve">London Fire Brigade </w:t>
            </w:r>
          </w:p>
        </w:tc>
        <w:tc>
          <w:tcPr>
            <w:tcW w:w="5010" w:type="dxa"/>
            <w:vAlign w:val="center"/>
          </w:tcPr>
          <w:p w:rsidR="009264CB" w:rsidRDefault="009264CB" w:rsidP="007B23C5">
            <w:r>
              <w:t>No representations received</w:t>
            </w:r>
          </w:p>
        </w:tc>
      </w:tr>
      <w:tr w:rsidR="009264CB" w:rsidTr="007B23C5">
        <w:trPr>
          <w:trHeight w:val="313"/>
        </w:trPr>
        <w:tc>
          <w:tcPr>
            <w:tcW w:w="4596" w:type="dxa"/>
            <w:vAlign w:val="center"/>
          </w:tcPr>
          <w:p w:rsidR="009264CB" w:rsidRPr="000425D9" w:rsidRDefault="009264CB" w:rsidP="007B23C5">
            <w:pPr>
              <w:pStyle w:val="Heading7"/>
            </w:pPr>
            <w:r w:rsidRPr="000425D9">
              <w:t>Metropolitan Police</w:t>
            </w:r>
          </w:p>
        </w:tc>
        <w:tc>
          <w:tcPr>
            <w:tcW w:w="5010" w:type="dxa"/>
            <w:vAlign w:val="center"/>
          </w:tcPr>
          <w:p w:rsidR="009264CB" w:rsidRPr="000443C5" w:rsidRDefault="000443C5" w:rsidP="007B23C5">
            <w:pPr>
              <w:rPr>
                <w:bCs/>
                <w:i/>
              </w:rPr>
            </w:pPr>
            <w:r w:rsidRPr="000443C5">
              <w:rPr>
                <w:i/>
              </w:rPr>
              <w:t>Representation received</w:t>
            </w:r>
          </w:p>
        </w:tc>
      </w:tr>
      <w:tr w:rsidR="009264CB" w:rsidTr="007B23C5">
        <w:trPr>
          <w:trHeight w:val="313"/>
        </w:trPr>
        <w:tc>
          <w:tcPr>
            <w:tcW w:w="4596" w:type="dxa"/>
            <w:vAlign w:val="center"/>
          </w:tcPr>
          <w:p w:rsidR="009264CB" w:rsidRPr="000425D9" w:rsidRDefault="009264CB" w:rsidP="007B23C5">
            <w:pPr>
              <w:pStyle w:val="Heading7"/>
            </w:pPr>
            <w:r>
              <w:t>Licensing authority</w:t>
            </w:r>
          </w:p>
        </w:tc>
        <w:tc>
          <w:tcPr>
            <w:tcW w:w="5010" w:type="dxa"/>
            <w:vAlign w:val="center"/>
          </w:tcPr>
          <w:p w:rsidR="009264CB" w:rsidRDefault="009264CB" w:rsidP="007B23C5">
            <w:r>
              <w:t>No representations made</w:t>
            </w:r>
          </w:p>
        </w:tc>
      </w:tr>
    </w:tbl>
    <w:p w:rsidR="009264CB" w:rsidRDefault="009264CB" w:rsidP="007D2AB0"/>
    <w:p w:rsidR="009264CB" w:rsidRPr="006E76A2" w:rsidRDefault="009264CB" w:rsidP="009264CB">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897AD5" w:rsidRDefault="00897AD5" w:rsidP="00897AD5"/>
    <w:p w:rsidR="009264CB" w:rsidRDefault="00897AD5" w:rsidP="00897AD5">
      <w:r>
        <w:t xml:space="preserve">One </w:t>
      </w:r>
      <w:r w:rsidR="000443C5">
        <w:t>representation</w:t>
      </w:r>
      <w:r w:rsidR="00EC069A">
        <w:t xml:space="preserve"> ha</w:t>
      </w:r>
      <w:r w:rsidR="000443C5">
        <w:t>s</w:t>
      </w:r>
      <w:r w:rsidR="00EC069A">
        <w:t xml:space="preserve"> been received from </w:t>
      </w:r>
      <w:r w:rsidR="00D64996">
        <w:t>‘</w:t>
      </w:r>
      <w:r w:rsidR="00EC069A">
        <w:t>other persons</w:t>
      </w:r>
      <w:r w:rsidR="00D64996">
        <w:t>’,</w:t>
      </w:r>
      <w:r w:rsidR="00EC069A">
        <w:t xml:space="preserve"> </w:t>
      </w:r>
      <w:r w:rsidR="00D64996">
        <w:t>being</w:t>
      </w:r>
      <w:r>
        <w:t xml:space="preserve"> a</w:t>
      </w:r>
      <w:r w:rsidR="000443C5">
        <w:t xml:space="preserve"> member</w:t>
      </w:r>
      <w:r w:rsidR="00EC069A">
        <w:t xml:space="preserve"> of the public</w:t>
      </w:r>
      <w:r w:rsidR="00493F88">
        <w:t xml:space="preserve"> (in addition to the application for a review)</w:t>
      </w:r>
      <w:r w:rsidR="00EC069A">
        <w:t>.</w:t>
      </w:r>
    </w:p>
    <w:p w:rsidR="007D2AB0" w:rsidRPr="007D2AB0" w:rsidRDefault="007D2AB0" w:rsidP="007D2AB0"/>
    <w:p w:rsidR="006A233E" w:rsidRDefault="006A233E">
      <w:pPr>
        <w:pStyle w:val="Heading1"/>
        <w:jc w:val="both"/>
      </w:pPr>
      <w:r>
        <w:t>Section 2 – Report</w:t>
      </w:r>
    </w:p>
    <w:p w:rsidR="00CB373D" w:rsidRPr="00CB373D" w:rsidRDefault="00CB373D" w:rsidP="00CB373D"/>
    <w:p w:rsidR="00CB373D" w:rsidRPr="00F04834" w:rsidRDefault="00CB373D" w:rsidP="00033F05">
      <w:pPr>
        <w:pStyle w:val="BodyTextIndent"/>
        <w:numPr>
          <w:ilvl w:val="0"/>
          <w:numId w:val="14"/>
        </w:numPr>
        <w:spacing w:after="0"/>
      </w:pPr>
      <w:r>
        <w:rPr>
          <w:rFonts w:cs="Arial"/>
        </w:rPr>
        <w:t xml:space="preserve">An application has been </w:t>
      </w:r>
      <w:r w:rsidR="00EC069A">
        <w:rPr>
          <w:rFonts w:cs="Arial"/>
        </w:rPr>
        <w:t>made</w:t>
      </w:r>
      <w:r>
        <w:rPr>
          <w:rFonts w:cs="Arial"/>
        </w:rPr>
        <w:t xml:space="preserve"> </w:t>
      </w:r>
      <w:r w:rsidR="000443C5">
        <w:rPr>
          <w:rFonts w:cs="Arial"/>
        </w:rPr>
        <w:t xml:space="preserve">by </w:t>
      </w:r>
      <w:proofErr w:type="gramStart"/>
      <w:r w:rsidR="000443C5">
        <w:rPr>
          <w:rFonts w:cs="Arial"/>
        </w:rPr>
        <w:t>an other</w:t>
      </w:r>
      <w:proofErr w:type="gramEnd"/>
      <w:r w:rsidR="000443C5">
        <w:rPr>
          <w:rFonts w:cs="Arial"/>
        </w:rPr>
        <w:t xml:space="preserve"> person</w:t>
      </w:r>
      <w:r w:rsidR="00493F88">
        <w:rPr>
          <w:rFonts w:cs="Arial"/>
        </w:rPr>
        <w:t>,</w:t>
      </w:r>
      <w:r w:rsidR="000443C5">
        <w:rPr>
          <w:rFonts w:cs="Arial"/>
        </w:rPr>
        <w:t xml:space="preserve"> who is a member of the public</w:t>
      </w:r>
      <w:r w:rsidR="00493F88">
        <w:rPr>
          <w:rFonts w:cs="Arial"/>
        </w:rPr>
        <w:t>,</w:t>
      </w:r>
      <w:r w:rsidR="000443C5">
        <w:rPr>
          <w:rFonts w:cs="Arial"/>
        </w:rPr>
        <w:t xml:space="preserve"> </w:t>
      </w:r>
      <w:r>
        <w:rPr>
          <w:rFonts w:cs="Arial"/>
        </w:rPr>
        <w:t xml:space="preserve">to review the premises licence </w:t>
      </w:r>
      <w:r w:rsidR="00493F88">
        <w:rPr>
          <w:rFonts w:cs="Arial"/>
        </w:rPr>
        <w:t xml:space="preserve">of </w:t>
      </w:r>
      <w:r w:rsidR="000443C5">
        <w:rPr>
          <w:rFonts w:cs="Arial"/>
        </w:rPr>
        <w:t>Club KTM, 32 Railway Approach, Wealdstone, HA3 5AA</w:t>
      </w:r>
      <w:r>
        <w:rPr>
          <w:rFonts w:cs="Arial"/>
        </w:rPr>
        <w:t xml:space="preserve"> on the grounds of preventing crime and disorder</w:t>
      </w:r>
      <w:r w:rsidR="00ED49A1">
        <w:rPr>
          <w:rFonts w:cs="Arial"/>
        </w:rPr>
        <w:t>, public safety and the prevention of public nuisance</w:t>
      </w:r>
      <w:r>
        <w:rPr>
          <w:rFonts w:cs="Arial"/>
        </w:rPr>
        <w:t xml:space="preserve"> (appendix 1). </w:t>
      </w:r>
    </w:p>
    <w:p w:rsidR="00CB373D" w:rsidRDefault="00CB373D" w:rsidP="00033F05">
      <w:pPr>
        <w:pStyle w:val="ListParagraph"/>
        <w:ind w:left="0"/>
        <w:rPr>
          <w:u w:val="single"/>
        </w:rPr>
      </w:pPr>
    </w:p>
    <w:p w:rsidR="00CB373D" w:rsidRPr="00511A5D" w:rsidRDefault="00CB373D" w:rsidP="00033F05">
      <w:pPr>
        <w:pStyle w:val="BodyTextIndent"/>
        <w:numPr>
          <w:ilvl w:val="0"/>
          <w:numId w:val="14"/>
        </w:numPr>
        <w:spacing w:after="0"/>
      </w:pPr>
      <w:r w:rsidRPr="00AF395F">
        <w:rPr>
          <w:u w:val="single"/>
        </w:rPr>
        <w:t>Description of premises</w:t>
      </w:r>
      <w:r>
        <w:rPr>
          <w:u w:val="single"/>
        </w:rPr>
        <w:br/>
      </w:r>
      <w:proofErr w:type="gramStart"/>
      <w:r w:rsidRPr="00511A5D">
        <w:rPr>
          <w:rFonts w:cs="Calibri"/>
          <w:color w:val="000000"/>
          <w:lang w:eastAsia="en-GB"/>
        </w:rPr>
        <w:t>The</w:t>
      </w:r>
      <w:proofErr w:type="gramEnd"/>
      <w:r w:rsidRPr="00511A5D">
        <w:rPr>
          <w:rFonts w:cs="Calibri"/>
          <w:color w:val="000000"/>
          <w:lang w:eastAsia="en-GB"/>
        </w:rPr>
        <w:t xml:space="preserve"> premises are located on </w:t>
      </w:r>
      <w:r w:rsidR="00ED49A1">
        <w:rPr>
          <w:rFonts w:cs="Calibri"/>
          <w:color w:val="000000"/>
          <w:lang w:eastAsia="en-GB"/>
        </w:rPr>
        <w:t>a busy</w:t>
      </w:r>
      <w:r>
        <w:rPr>
          <w:rFonts w:cs="Calibri"/>
          <w:color w:val="000000"/>
          <w:lang w:eastAsia="en-GB"/>
        </w:rPr>
        <w:t xml:space="preserve"> </w:t>
      </w:r>
      <w:r w:rsidR="000443C5">
        <w:rPr>
          <w:rFonts w:cs="Calibri"/>
          <w:color w:val="000000"/>
          <w:lang w:eastAsia="en-GB"/>
        </w:rPr>
        <w:t>part of Station Road, opposite the Harrow Civic Centre</w:t>
      </w:r>
      <w:r w:rsidR="00897AD5">
        <w:rPr>
          <w:rFonts w:cs="Calibri"/>
          <w:color w:val="000000"/>
          <w:lang w:eastAsia="en-GB"/>
        </w:rPr>
        <w:t>.</w:t>
      </w:r>
      <w:r w:rsidRPr="00511A5D">
        <w:rPr>
          <w:rFonts w:cs="Calibri"/>
          <w:color w:val="000000"/>
          <w:lang w:eastAsia="en-GB"/>
        </w:rPr>
        <w:t xml:space="preserve">  The premises comprise </w:t>
      </w:r>
      <w:r>
        <w:rPr>
          <w:rFonts w:cs="Calibri"/>
          <w:color w:val="000000"/>
          <w:lang w:eastAsia="en-GB"/>
        </w:rPr>
        <w:t xml:space="preserve">a </w:t>
      </w:r>
      <w:r w:rsidR="00ED49A1">
        <w:rPr>
          <w:rFonts w:cs="Calibri"/>
          <w:color w:val="000000"/>
          <w:lang w:eastAsia="en-GB"/>
        </w:rPr>
        <w:t>two storey building</w:t>
      </w:r>
      <w:r w:rsidR="0003178C">
        <w:rPr>
          <w:rFonts w:cs="Calibri"/>
          <w:color w:val="000000"/>
          <w:lang w:eastAsia="en-GB"/>
        </w:rPr>
        <w:t xml:space="preserve"> of which both floors are used for the activities of the club.</w:t>
      </w:r>
    </w:p>
    <w:p w:rsidR="00CB373D" w:rsidRDefault="00CB373D" w:rsidP="00033F05">
      <w:pPr>
        <w:pStyle w:val="ListParagraph"/>
      </w:pPr>
    </w:p>
    <w:p w:rsidR="00CB373D" w:rsidRDefault="00CB373D" w:rsidP="00033F05">
      <w:pPr>
        <w:pStyle w:val="BodyTextIndent"/>
        <w:numPr>
          <w:ilvl w:val="0"/>
          <w:numId w:val="14"/>
        </w:numPr>
        <w:spacing w:after="0"/>
      </w:pPr>
      <w:r>
        <w:t>An image of the premises and a location map are provided at appendix 2.</w:t>
      </w:r>
    </w:p>
    <w:p w:rsidR="00CB373D" w:rsidRDefault="00CB373D" w:rsidP="00033F05">
      <w:pPr>
        <w:pStyle w:val="ListParagraph"/>
      </w:pPr>
    </w:p>
    <w:p w:rsidR="009B05ED" w:rsidRPr="009B05ED" w:rsidRDefault="00CB373D" w:rsidP="00033F05">
      <w:pPr>
        <w:pStyle w:val="BodyTextIndent"/>
        <w:numPr>
          <w:ilvl w:val="0"/>
          <w:numId w:val="14"/>
        </w:numPr>
        <w:spacing w:after="0"/>
        <w:rPr>
          <w:u w:val="single"/>
        </w:rPr>
      </w:pPr>
      <w:r>
        <w:rPr>
          <w:u w:val="single"/>
        </w:rPr>
        <w:t>Licensing history</w:t>
      </w:r>
      <w:r>
        <w:rPr>
          <w:u w:val="single"/>
        </w:rPr>
        <w:br/>
      </w:r>
      <w:r w:rsidR="009B05ED">
        <w:t>12 October 2010 – The premises licence granted.</w:t>
      </w:r>
    </w:p>
    <w:p w:rsidR="009B05ED" w:rsidRDefault="009B05ED" w:rsidP="009B05ED">
      <w:pPr>
        <w:pStyle w:val="ListParagraph"/>
      </w:pPr>
    </w:p>
    <w:p w:rsidR="00CB373D" w:rsidRPr="00753426" w:rsidRDefault="009B05ED" w:rsidP="00033F05">
      <w:pPr>
        <w:pStyle w:val="BodyTextIndent"/>
        <w:numPr>
          <w:ilvl w:val="0"/>
          <w:numId w:val="14"/>
        </w:numPr>
        <w:spacing w:after="0"/>
        <w:rPr>
          <w:u w:val="single"/>
        </w:rPr>
      </w:pPr>
      <w:r>
        <w:t xml:space="preserve">26 May 2017 - </w:t>
      </w:r>
      <w:r w:rsidR="00CB373D">
        <w:t xml:space="preserve">The premises licence was transferred </w:t>
      </w:r>
      <w:r w:rsidR="0003178C">
        <w:t>and the Designated Premises Supervisor</w:t>
      </w:r>
      <w:r w:rsidR="00336EAA">
        <w:t xml:space="preserve"> (DPS) </w:t>
      </w:r>
      <w:r w:rsidR="0003178C">
        <w:t xml:space="preserve">was varied.  The premises licence holder and the DPS are Mr Prakash Pradhan </w:t>
      </w:r>
    </w:p>
    <w:p w:rsidR="006A14A7" w:rsidRPr="006A14A7" w:rsidRDefault="006A14A7" w:rsidP="00033F05">
      <w:pPr>
        <w:pStyle w:val="BodyTextIndent"/>
        <w:spacing w:after="0"/>
        <w:ind w:left="358"/>
        <w:rPr>
          <w:u w:val="single"/>
        </w:rPr>
      </w:pPr>
    </w:p>
    <w:p w:rsidR="002A4446" w:rsidRPr="002A4446" w:rsidRDefault="002A4446" w:rsidP="00033F05">
      <w:pPr>
        <w:pStyle w:val="BodyTextIndent"/>
        <w:numPr>
          <w:ilvl w:val="0"/>
          <w:numId w:val="14"/>
        </w:numPr>
        <w:spacing w:after="0"/>
        <w:rPr>
          <w:u w:val="single"/>
        </w:rPr>
      </w:pPr>
      <w:r>
        <w:t>9 August 2017</w:t>
      </w:r>
      <w:r w:rsidR="009B05ED">
        <w:t xml:space="preserve"> - </w:t>
      </w:r>
      <w:r>
        <w:t xml:space="preserve">an application to vary the premises licence was received.  The application sought to extend hours for licensable activities as follows: </w:t>
      </w:r>
    </w:p>
    <w:p w:rsidR="002A4446" w:rsidRDefault="002A4446" w:rsidP="002A4446">
      <w:pPr>
        <w:pStyle w:val="ListParagraph"/>
      </w:pPr>
    </w:p>
    <w:p w:rsidR="00753426" w:rsidRPr="002A4446" w:rsidRDefault="002A4446" w:rsidP="009B05ED">
      <w:pPr>
        <w:pStyle w:val="BodyTextIndent"/>
        <w:spacing w:after="0"/>
        <w:ind w:left="720"/>
        <w:rPr>
          <w:u w:val="single"/>
        </w:rPr>
      </w:pPr>
      <w:r>
        <w:t>Live music, recorded music, performance of dance and the sale of alcohol: Sunday – Wednesday 12:00 – 02:00 (the following morning), and Thursday – Saturday – 12:00 – 04:00 (the following morning)</w:t>
      </w:r>
    </w:p>
    <w:p w:rsidR="002A4446" w:rsidRDefault="002A4446" w:rsidP="009B05ED">
      <w:pPr>
        <w:pStyle w:val="ListParagraph"/>
        <w:ind w:left="1080"/>
        <w:rPr>
          <w:u w:val="single"/>
        </w:rPr>
      </w:pPr>
    </w:p>
    <w:p w:rsidR="002A4446" w:rsidRPr="002A4446" w:rsidRDefault="002A4446" w:rsidP="009B05ED">
      <w:pPr>
        <w:pStyle w:val="BodyTextIndent"/>
        <w:spacing w:after="0"/>
        <w:ind w:left="720"/>
        <w:rPr>
          <w:u w:val="single"/>
        </w:rPr>
      </w:pPr>
      <w:r>
        <w:t>Late Night refreshment: Sunday – Wednesday: 23:00 – 02:00 (the following morning) and Thursday – Saturday – 23:00 – 04:00 (the following morning).</w:t>
      </w:r>
    </w:p>
    <w:p w:rsidR="002A4446" w:rsidRDefault="002A4446" w:rsidP="009B05ED">
      <w:pPr>
        <w:pStyle w:val="ListParagraph"/>
        <w:ind w:left="1080"/>
        <w:rPr>
          <w:u w:val="single"/>
        </w:rPr>
      </w:pPr>
    </w:p>
    <w:p w:rsidR="002A4446" w:rsidRPr="00545DC3" w:rsidRDefault="00335DD6" w:rsidP="009B05ED">
      <w:pPr>
        <w:pStyle w:val="BodyTextIndent"/>
        <w:spacing w:after="0"/>
        <w:ind w:left="720"/>
        <w:rPr>
          <w:u w:val="single"/>
        </w:rPr>
      </w:pPr>
      <w:r>
        <w:t xml:space="preserve">In light of representations received against the application a hearing before the licensing </w:t>
      </w:r>
      <w:r w:rsidR="004027F3">
        <w:t>Panel</w:t>
      </w:r>
      <w:r>
        <w:t xml:space="preserve"> was required. </w:t>
      </w:r>
      <w:r w:rsidR="00D64996">
        <w:t xml:space="preserve">The </w:t>
      </w:r>
      <w:r w:rsidR="004027F3">
        <w:t>Panel</w:t>
      </w:r>
      <w:r w:rsidR="00D64996">
        <w:t xml:space="preserve"> </w:t>
      </w:r>
      <w:r w:rsidR="002A4446">
        <w:t>granted the hours sought subject to conditions which appear on the current premises licence (</w:t>
      </w:r>
      <w:r w:rsidR="00545DC3">
        <w:t>Appendix 3)</w:t>
      </w:r>
    </w:p>
    <w:p w:rsidR="00545DC3" w:rsidRDefault="00545DC3" w:rsidP="00545DC3">
      <w:pPr>
        <w:pStyle w:val="ListParagraph"/>
        <w:rPr>
          <w:u w:val="single"/>
        </w:rPr>
      </w:pPr>
    </w:p>
    <w:p w:rsidR="00545DC3" w:rsidRPr="002A4446" w:rsidRDefault="009B05ED" w:rsidP="00033F05">
      <w:pPr>
        <w:pStyle w:val="BodyTextIndent"/>
        <w:numPr>
          <w:ilvl w:val="0"/>
          <w:numId w:val="14"/>
        </w:numPr>
        <w:spacing w:after="0"/>
        <w:rPr>
          <w:u w:val="single"/>
        </w:rPr>
      </w:pPr>
      <w:r>
        <w:t xml:space="preserve">3 January 2018 - </w:t>
      </w:r>
      <w:r w:rsidR="00545DC3">
        <w:t xml:space="preserve">A review application was made by the Metropolitan </w:t>
      </w:r>
      <w:r>
        <w:t xml:space="preserve">Police.  </w:t>
      </w:r>
      <w:r w:rsidR="0035081A">
        <w:t xml:space="preserve">The application alleged the </w:t>
      </w:r>
      <w:r w:rsidR="00545DC3">
        <w:t>undermining of the prevention of crime and disorder, the prevention of public nuisance and public safety objectives. The licensing hearing that considered the application resolved that no further steps were to be taken to promote the licensing objectives.  The reason for the decision</w:t>
      </w:r>
      <w:r w:rsidR="00336EAA">
        <w:t xml:space="preserve"> </w:t>
      </w:r>
      <w:r w:rsidR="00545DC3">
        <w:t xml:space="preserve">was </w:t>
      </w:r>
      <w:r w:rsidR="00336EAA">
        <w:t xml:space="preserve">(in summary) </w:t>
      </w:r>
      <w:r w:rsidR="00545DC3">
        <w:t>that the alleged incident that had been reported as taken place inside the club was a false allegation.</w:t>
      </w:r>
    </w:p>
    <w:p w:rsidR="00CB373D" w:rsidRDefault="00CB373D" w:rsidP="00033F05">
      <w:pPr>
        <w:pStyle w:val="ListParagraph"/>
        <w:rPr>
          <w:u w:val="single"/>
        </w:rPr>
      </w:pPr>
    </w:p>
    <w:p w:rsidR="00CB373D" w:rsidRDefault="00CB373D" w:rsidP="00033F05">
      <w:pPr>
        <w:pStyle w:val="BodyTextIndent"/>
        <w:numPr>
          <w:ilvl w:val="0"/>
          <w:numId w:val="14"/>
        </w:numPr>
        <w:spacing w:after="0"/>
      </w:pPr>
      <w:r w:rsidRPr="002F391F">
        <w:rPr>
          <w:u w:val="single"/>
        </w:rPr>
        <w:t>Details of the application</w:t>
      </w:r>
      <w:r w:rsidRPr="0082321C">
        <w:rPr>
          <w:u w:val="single"/>
        </w:rPr>
        <w:br/>
      </w:r>
      <w:r>
        <w:t xml:space="preserve">Received:  </w:t>
      </w:r>
      <w:r w:rsidR="00DD0395">
        <w:t>26</w:t>
      </w:r>
      <w:r w:rsidR="006A14A7">
        <w:t xml:space="preserve"> April 2019</w:t>
      </w:r>
      <w:r>
        <w:br/>
      </w:r>
      <w:proofErr w:type="gramStart"/>
      <w:r>
        <w:t>The</w:t>
      </w:r>
      <w:proofErr w:type="gramEnd"/>
      <w:r>
        <w:t xml:space="preserve"> application has been advertised in accordance with the prescribed regulations.</w:t>
      </w:r>
    </w:p>
    <w:p w:rsidR="00CB373D" w:rsidRDefault="00CB373D" w:rsidP="00033F05">
      <w:pPr>
        <w:pStyle w:val="BodyTextIndent"/>
        <w:ind w:left="0"/>
      </w:pPr>
    </w:p>
    <w:p w:rsidR="00CB373D" w:rsidRPr="00AE65A4" w:rsidRDefault="00CB373D" w:rsidP="00033F05">
      <w:pPr>
        <w:pStyle w:val="BodyTextIndent"/>
        <w:numPr>
          <w:ilvl w:val="0"/>
          <w:numId w:val="14"/>
        </w:numPr>
        <w:spacing w:after="0"/>
        <w:rPr>
          <w:u w:val="single"/>
        </w:rPr>
      </w:pPr>
      <w:r w:rsidRPr="002F633F">
        <w:rPr>
          <w:u w:val="single"/>
        </w:rPr>
        <w:t>Representations</w:t>
      </w:r>
      <w:r w:rsidRPr="002F633F">
        <w:rPr>
          <w:u w:val="single"/>
        </w:rPr>
        <w:br/>
      </w:r>
      <w:r>
        <w:t xml:space="preserve">There have been </w:t>
      </w:r>
      <w:r w:rsidR="00DD0395">
        <w:t>four</w:t>
      </w:r>
      <w:r>
        <w:t xml:space="preserve"> representations.  </w:t>
      </w:r>
      <w:r w:rsidR="00DD0395">
        <w:t xml:space="preserve">Three being from responsible authorities and one being from </w:t>
      </w:r>
      <w:r w:rsidR="00D64996">
        <w:t>‘</w:t>
      </w:r>
      <w:r w:rsidR="00DD0395">
        <w:t>other persons</w:t>
      </w:r>
      <w:r w:rsidR="00D64996">
        <w:t xml:space="preserve">’, being </w:t>
      </w:r>
      <w:r w:rsidR="00DD0395">
        <w:t>a member of the public.</w:t>
      </w:r>
      <w:r w:rsidR="00D64996">
        <w:t xml:space="preserve"> See appendix 3. </w:t>
      </w:r>
    </w:p>
    <w:p w:rsidR="00CB373D" w:rsidRPr="00AE65A4" w:rsidRDefault="00CB373D" w:rsidP="00033F05">
      <w:pPr>
        <w:pStyle w:val="BodyTextIndent"/>
        <w:ind w:left="358"/>
        <w:rPr>
          <w:u w:val="single"/>
        </w:rPr>
      </w:pPr>
    </w:p>
    <w:p w:rsidR="00D64996" w:rsidRPr="006E2D8A" w:rsidRDefault="00CB373D" w:rsidP="00033F05">
      <w:pPr>
        <w:pStyle w:val="BodyTextIndent"/>
        <w:numPr>
          <w:ilvl w:val="0"/>
          <w:numId w:val="14"/>
        </w:numPr>
        <w:spacing w:after="0"/>
        <w:rPr>
          <w:u w:val="single"/>
        </w:rPr>
      </w:pPr>
      <w:r w:rsidRPr="007D272A">
        <w:rPr>
          <w:u w:val="single"/>
        </w:rPr>
        <w:t>Officer observations</w:t>
      </w:r>
      <w:r w:rsidR="00807DD0">
        <w:rPr>
          <w:u w:val="single"/>
        </w:rPr>
        <w:t xml:space="preserve"> in summary</w:t>
      </w:r>
      <w:r w:rsidRPr="007D272A">
        <w:rPr>
          <w:u w:val="single"/>
        </w:rPr>
        <w:br/>
      </w:r>
      <w:proofErr w:type="gramStart"/>
      <w:r w:rsidR="006A14A7">
        <w:t>The</w:t>
      </w:r>
      <w:proofErr w:type="gramEnd"/>
      <w:r w:rsidR="006A14A7">
        <w:t xml:space="preserve"> application has been s</w:t>
      </w:r>
      <w:r w:rsidR="00CA4255">
        <w:t xml:space="preserve">ubmitted to the authority by </w:t>
      </w:r>
      <w:r w:rsidR="00DD0395">
        <w:t xml:space="preserve">Ms </w:t>
      </w:r>
      <w:proofErr w:type="spellStart"/>
      <w:r w:rsidR="00DD0395">
        <w:t>Daya</w:t>
      </w:r>
      <w:proofErr w:type="spellEnd"/>
      <w:r w:rsidR="00DD0395">
        <w:t xml:space="preserve"> and Mr </w:t>
      </w:r>
      <w:proofErr w:type="spellStart"/>
      <w:r w:rsidR="00DD0395">
        <w:t>Uday</w:t>
      </w:r>
      <w:proofErr w:type="spellEnd"/>
      <w:r w:rsidR="00DD0395">
        <w:t xml:space="preserve"> Patel.  The application alleges that the licensing objectives for the prevention of crime and disorder, the prevention of public nuisance and public safety are being undermined.  </w:t>
      </w:r>
    </w:p>
    <w:p w:rsidR="00D64996" w:rsidRDefault="00D64996" w:rsidP="006E2D8A">
      <w:pPr>
        <w:pStyle w:val="ListParagraph"/>
      </w:pPr>
    </w:p>
    <w:p w:rsidR="00D64996" w:rsidRPr="006E2D8A" w:rsidRDefault="00DD0395" w:rsidP="00033F05">
      <w:pPr>
        <w:pStyle w:val="BodyTextIndent"/>
        <w:numPr>
          <w:ilvl w:val="0"/>
          <w:numId w:val="14"/>
        </w:numPr>
        <w:spacing w:after="0"/>
        <w:rPr>
          <w:u w:val="single"/>
        </w:rPr>
      </w:pPr>
      <w:r>
        <w:t>Two representations have been received from Environmental Health Officers.  Mr Norton’s representations concentrates on public safety issues and Ms Smith</w:t>
      </w:r>
      <w:r w:rsidR="004027F3">
        <w:t>’</w:t>
      </w:r>
      <w:r>
        <w:t>s representation concentrates on the prevention of public nuisance.</w:t>
      </w:r>
      <w:r w:rsidR="00535F7C">
        <w:t xml:space="preserve">  The representation from the Metropolitan Police </w:t>
      </w:r>
      <w:r w:rsidR="00D64996">
        <w:t xml:space="preserve">sets out </w:t>
      </w:r>
      <w:r w:rsidR="00535F7C">
        <w:t xml:space="preserve">the incidents that have been recorded </w:t>
      </w:r>
      <w:r w:rsidR="00D64996">
        <w:t xml:space="preserve">at </w:t>
      </w:r>
      <w:r w:rsidR="00535F7C">
        <w:t xml:space="preserve">the premises since 2 June 2018 </w:t>
      </w:r>
      <w:r w:rsidR="00D62BA5">
        <w:t>due to crime and disorder and anti social behaviour.  The applica</w:t>
      </w:r>
      <w:r w:rsidR="00807DD0">
        <w:t xml:space="preserve">tion </w:t>
      </w:r>
      <w:r w:rsidR="00D62BA5">
        <w:t>and the representations received from Environmental Health and th</w:t>
      </w:r>
      <w:r w:rsidR="00807DD0">
        <w:t xml:space="preserve">e Metropolitan Police, </w:t>
      </w:r>
      <w:r w:rsidR="00D62BA5">
        <w:t xml:space="preserve">suggest that the hours for licensable activities </w:t>
      </w:r>
      <w:r w:rsidR="00807DD0">
        <w:t>and hours open to public be reduced a</w:t>
      </w:r>
      <w:r w:rsidR="00D62BA5">
        <w:t xml:space="preserve">nd </w:t>
      </w:r>
      <w:r w:rsidR="00807DD0">
        <w:t xml:space="preserve">conditions be added to the licence to further uphold the objectives.  The </w:t>
      </w:r>
      <w:r w:rsidR="00CA4255">
        <w:t xml:space="preserve">current </w:t>
      </w:r>
      <w:r w:rsidR="00807DD0">
        <w:t xml:space="preserve">dispersal policy has been attached to this report (appendix 3).  </w:t>
      </w:r>
    </w:p>
    <w:p w:rsidR="00D64996" w:rsidRDefault="00D64996" w:rsidP="006E2D8A">
      <w:pPr>
        <w:pStyle w:val="ListParagraph"/>
      </w:pPr>
    </w:p>
    <w:p w:rsidR="003456BD" w:rsidRPr="007D272A" w:rsidRDefault="00807DD0" w:rsidP="00033F05">
      <w:pPr>
        <w:pStyle w:val="BodyTextIndent"/>
        <w:numPr>
          <w:ilvl w:val="0"/>
          <w:numId w:val="14"/>
        </w:numPr>
        <w:spacing w:after="0"/>
        <w:rPr>
          <w:u w:val="single"/>
        </w:rPr>
      </w:pPr>
      <w:r>
        <w:t>The representation fr</w:t>
      </w:r>
      <w:r w:rsidR="00D64996">
        <w:t>o</w:t>
      </w:r>
      <w:r>
        <w:t xml:space="preserve">m the other person – a member of the public – expresses concern about the licensing objectives being undermined and includes links to videos and photos taken </w:t>
      </w:r>
      <w:r w:rsidR="00D64996">
        <w:t xml:space="preserve">contemporaneously </w:t>
      </w:r>
      <w:r>
        <w:t>when problems have arisen.</w:t>
      </w:r>
    </w:p>
    <w:p w:rsidR="00CB373D" w:rsidRPr="0038786F" w:rsidRDefault="00CB373D" w:rsidP="00033F05">
      <w:pPr>
        <w:pStyle w:val="BodyTextIndent"/>
        <w:ind w:left="0"/>
        <w:rPr>
          <w:u w:val="single"/>
        </w:rPr>
      </w:pPr>
    </w:p>
    <w:p w:rsidR="00DB236C" w:rsidRDefault="00CB373D" w:rsidP="00BB7A89">
      <w:pPr>
        <w:pStyle w:val="BodyTextIndent"/>
        <w:numPr>
          <w:ilvl w:val="0"/>
          <w:numId w:val="14"/>
        </w:numPr>
        <w:spacing w:after="0"/>
      </w:pPr>
      <w:r w:rsidRPr="002F633F">
        <w:rPr>
          <w:u w:val="single"/>
        </w:rPr>
        <w:t>Statutory guidance</w:t>
      </w:r>
      <w:r w:rsidRPr="002F633F">
        <w:rPr>
          <w:u w:val="single"/>
        </w:rPr>
        <w:br/>
      </w:r>
      <w:r w:rsidR="00BB7A89">
        <w:t xml:space="preserve">Information from the statutory guidance </w:t>
      </w:r>
      <w:r w:rsidR="00CA4255">
        <w:t>regarding</w:t>
      </w:r>
      <w:r w:rsidR="00BB7A89">
        <w:t xml:space="preserve"> the licensing objectives has been attached to this report</w:t>
      </w:r>
      <w:r w:rsidR="00CA4255">
        <w:t>.</w:t>
      </w:r>
      <w:r w:rsidR="00D64996">
        <w:t xml:space="preserve"> See appendix 4. </w:t>
      </w:r>
    </w:p>
    <w:p w:rsidR="00CB373D" w:rsidRDefault="00CB373D" w:rsidP="00033F05">
      <w:pPr>
        <w:pStyle w:val="ListParagraph"/>
        <w:rPr>
          <w:color w:val="000000"/>
          <w:u w:val="single"/>
        </w:rPr>
      </w:pPr>
    </w:p>
    <w:p w:rsidR="00CB373D" w:rsidRPr="00D61CF2" w:rsidRDefault="00CB373D" w:rsidP="00033F05">
      <w:pPr>
        <w:pStyle w:val="BodyTextIndent"/>
        <w:numPr>
          <w:ilvl w:val="0"/>
          <w:numId w:val="14"/>
        </w:numPr>
        <w:spacing w:after="0"/>
        <w:rPr>
          <w:rFonts w:cs="Arial"/>
          <w:color w:val="000000"/>
        </w:rPr>
      </w:pPr>
      <w:r w:rsidRPr="00D61CF2">
        <w:rPr>
          <w:color w:val="000000"/>
          <w:u w:val="single"/>
        </w:rPr>
        <w:t xml:space="preserve">Licensing policy </w:t>
      </w:r>
      <w:r>
        <w:br/>
        <w:t>The Panel will bear in mind appendix 1 to the statement of licensing policy, attached to this report at appendix 5. The Panel has discretion to depart from the guidelines, which are designed with consistency and transparency of decision-making in mind.</w:t>
      </w:r>
    </w:p>
    <w:p w:rsidR="00CB373D" w:rsidRDefault="00CB373D" w:rsidP="00033F05">
      <w:pPr>
        <w:pStyle w:val="ListParagraph"/>
        <w:rPr>
          <w:color w:val="000000"/>
          <w:u w:val="single"/>
        </w:rPr>
      </w:pPr>
    </w:p>
    <w:p w:rsidR="00CB373D" w:rsidRPr="00AE65A4" w:rsidRDefault="00CB373D" w:rsidP="00033F05">
      <w:pPr>
        <w:pStyle w:val="BodyTextIndent"/>
        <w:numPr>
          <w:ilvl w:val="0"/>
          <w:numId w:val="14"/>
        </w:numPr>
        <w:spacing w:after="0"/>
        <w:rPr>
          <w:rFonts w:cs="Arial"/>
          <w:color w:val="000000"/>
        </w:rPr>
      </w:pPr>
      <w:r w:rsidRPr="00D61CF2">
        <w:rPr>
          <w:color w:val="000000"/>
          <w:u w:val="single"/>
        </w:rPr>
        <w:t>Legal implications</w:t>
      </w:r>
      <w:r w:rsidRPr="00D61CF2">
        <w:rPr>
          <w:color w:val="000000"/>
          <w:u w:val="single"/>
        </w:rPr>
        <w:br/>
      </w:r>
      <w:r w:rsidRPr="00AE65A4">
        <w:rPr>
          <w:color w:val="000000"/>
        </w:rPr>
        <w:t xml:space="preserve">The </w:t>
      </w:r>
      <w:r w:rsidRPr="006E76A2">
        <w:t xml:space="preserve">Licensing </w:t>
      </w:r>
      <w:r>
        <w:t>Authority</w:t>
      </w:r>
      <w:r w:rsidRPr="006E76A2">
        <w:t xml:space="preserve"> is required to </w:t>
      </w:r>
      <w:r>
        <w:t xml:space="preserve">hold a hearing to consider the review application and </w:t>
      </w:r>
      <w:r w:rsidRPr="006E76A2">
        <w:t xml:space="preserve">any relevant representations </w:t>
      </w:r>
      <w:r>
        <w:t>made</w:t>
      </w:r>
      <w:r w:rsidRPr="006E76A2">
        <w:t xml:space="preserve">. </w:t>
      </w:r>
      <w:r>
        <w:t xml:space="preserve"> </w:t>
      </w:r>
      <w:r w:rsidRPr="006E76A2">
        <w:t xml:space="preserve">The hearing must be held in accordance with the Licensing Act 2003 (Hearings) Regulations 2005. </w:t>
      </w:r>
    </w:p>
    <w:p w:rsidR="00CB373D" w:rsidRDefault="00CB373D" w:rsidP="00033F05">
      <w:pPr>
        <w:pStyle w:val="ListParagraph"/>
      </w:pPr>
    </w:p>
    <w:p w:rsidR="00CB373D" w:rsidRDefault="00CB373D" w:rsidP="00033F05">
      <w:pPr>
        <w:pStyle w:val="BodyTextIndent"/>
        <w:numPr>
          <w:ilvl w:val="0"/>
          <w:numId w:val="14"/>
        </w:numPr>
        <w:spacing w:after="0"/>
        <w:rPr>
          <w:rFonts w:cs="Arial"/>
          <w:color w:val="000000"/>
        </w:rPr>
      </w:pPr>
      <w:r w:rsidRPr="006E76A2">
        <w:t>The Licensing Panel is required to give appropriate weight to the</w:t>
      </w:r>
      <w:r>
        <w:t xml:space="preserve"> review application,</w:t>
      </w:r>
      <w:r w:rsidRPr="006E76A2">
        <w:t xml:space="preserve"> representations (including supporting information) presented by all the parties, the Guidance issued pursuant to section 182 of the Licensing Act 2003, the Council’s statement of licensing policy and the steps </w:t>
      </w:r>
      <w:r>
        <w:t xml:space="preserve">(if any) </w:t>
      </w:r>
      <w:r w:rsidRPr="006E76A2">
        <w:t xml:space="preserve">that are </w:t>
      </w:r>
      <w:r>
        <w:t>appropriate</w:t>
      </w:r>
      <w:r w:rsidRPr="006E76A2">
        <w:t xml:space="preserve"> to promote the four licensing objectives. </w:t>
      </w:r>
    </w:p>
    <w:p w:rsidR="00CB373D" w:rsidRPr="00F855BA" w:rsidRDefault="00CB373D" w:rsidP="00033F05">
      <w:pPr>
        <w:pStyle w:val="BodyTextIndent"/>
        <w:ind w:left="0"/>
        <w:rPr>
          <w:rFonts w:cs="Arial"/>
          <w:color w:val="000000"/>
        </w:rPr>
      </w:pPr>
    </w:p>
    <w:p w:rsidR="00CB373D" w:rsidRPr="00D61CF2" w:rsidRDefault="00CB373D" w:rsidP="00033F05">
      <w:pPr>
        <w:pStyle w:val="BodyTextIndent"/>
        <w:numPr>
          <w:ilvl w:val="0"/>
          <w:numId w:val="14"/>
        </w:numPr>
        <w:spacing w:after="0"/>
        <w:rPr>
          <w:rFonts w:cs="Arial"/>
          <w:color w:val="000000"/>
        </w:rPr>
      </w:pPr>
      <w:r>
        <w:t>H</w:t>
      </w:r>
      <w:r w:rsidRPr="006E76A2">
        <w:t>aving considered those relevant matters, the Licensing Panel</w:t>
      </w:r>
      <w:r>
        <w:t xml:space="preserve"> </w:t>
      </w:r>
      <w:r w:rsidRPr="006E76A2">
        <w:t xml:space="preserve"> </w:t>
      </w:r>
      <w:r>
        <w:t xml:space="preserve">can take such </w:t>
      </w:r>
      <w:r w:rsidRPr="006E76A2">
        <w:t xml:space="preserve">of </w:t>
      </w:r>
      <w:r>
        <w:t xml:space="preserve">the </w:t>
      </w:r>
      <w:r w:rsidRPr="006E76A2">
        <w:t xml:space="preserve">following steps </w:t>
      </w:r>
      <w:r>
        <w:t xml:space="preserve">(if any) </w:t>
      </w:r>
      <w:r w:rsidRPr="006E76A2">
        <w:t xml:space="preserve">as it considers </w:t>
      </w:r>
      <w:r>
        <w:t>appropriate</w:t>
      </w:r>
      <w:r w:rsidRPr="006E76A2">
        <w:t xml:space="preserve"> for the promotion of the licensing objectives –</w:t>
      </w:r>
    </w:p>
    <w:p w:rsidR="00CB373D" w:rsidRDefault="00CB373D" w:rsidP="00033F05">
      <w:pPr>
        <w:pStyle w:val="ListParagraph"/>
      </w:pPr>
    </w:p>
    <w:p w:rsidR="00CB373D" w:rsidRPr="009B0A0D" w:rsidRDefault="00CB373D" w:rsidP="00033F05">
      <w:pPr>
        <w:pStyle w:val="ListParagraph"/>
        <w:numPr>
          <w:ilvl w:val="0"/>
          <w:numId w:val="16"/>
        </w:numPr>
        <w:spacing w:after="120"/>
        <w:ind w:right="667"/>
        <w:jc w:val="both"/>
      </w:pPr>
      <w:r>
        <w:t>t</w:t>
      </w:r>
      <w:r w:rsidRPr="009B0A0D">
        <w:t xml:space="preserve">o modify the conditions of the </w:t>
      </w:r>
      <w:r>
        <w:t>l</w:t>
      </w:r>
      <w:r w:rsidRPr="009B0A0D">
        <w:t>icence</w:t>
      </w:r>
      <w:r>
        <w:t>;</w:t>
      </w:r>
    </w:p>
    <w:p w:rsidR="00CB373D" w:rsidRPr="009B0A0D" w:rsidRDefault="00CB373D" w:rsidP="00033F05">
      <w:pPr>
        <w:pStyle w:val="ListParagraph"/>
        <w:numPr>
          <w:ilvl w:val="0"/>
          <w:numId w:val="16"/>
        </w:numPr>
        <w:spacing w:after="120"/>
        <w:ind w:right="667"/>
        <w:jc w:val="both"/>
      </w:pPr>
      <w:r>
        <w:t>t</w:t>
      </w:r>
      <w:r w:rsidRPr="009B0A0D">
        <w:t xml:space="preserve">o </w:t>
      </w:r>
      <w:r>
        <w:t>exclude any of the</w:t>
      </w:r>
      <w:r w:rsidRPr="009B0A0D">
        <w:t xml:space="preserve"> lic</w:t>
      </w:r>
      <w:r>
        <w:t>ensable activities</w:t>
      </w:r>
      <w:r w:rsidRPr="009B0A0D">
        <w:t xml:space="preserve"> from the scope of the licence;</w:t>
      </w:r>
    </w:p>
    <w:p w:rsidR="00CB373D" w:rsidRPr="009B0A0D" w:rsidRDefault="00CB373D" w:rsidP="00033F05">
      <w:pPr>
        <w:pStyle w:val="ListParagraph"/>
        <w:numPr>
          <w:ilvl w:val="0"/>
          <w:numId w:val="16"/>
        </w:numPr>
        <w:spacing w:after="120"/>
        <w:ind w:right="667"/>
        <w:jc w:val="both"/>
      </w:pPr>
      <w:r>
        <w:t>t</w:t>
      </w:r>
      <w:r w:rsidRPr="009B0A0D">
        <w:t xml:space="preserve">o remove the designated premises supervisor; </w:t>
      </w:r>
    </w:p>
    <w:p w:rsidR="00CB373D" w:rsidRPr="009B0A0D" w:rsidRDefault="00CB373D" w:rsidP="00033F05">
      <w:pPr>
        <w:pStyle w:val="ListParagraph"/>
        <w:numPr>
          <w:ilvl w:val="0"/>
          <w:numId w:val="16"/>
        </w:numPr>
        <w:spacing w:after="120"/>
        <w:ind w:right="667"/>
        <w:jc w:val="both"/>
      </w:pPr>
      <w:r>
        <w:t>t</w:t>
      </w:r>
      <w:r w:rsidRPr="009B0A0D">
        <w:t>o suspend the licence for a period not exceeding 3 months;</w:t>
      </w:r>
    </w:p>
    <w:p w:rsidR="00CB373D" w:rsidRDefault="00CB373D" w:rsidP="00033F05">
      <w:pPr>
        <w:pStyle w:val="ListParagraph"/>
        <w:numPr>
          <w:ilvl w:val="0"/>
          <w:numId w:val="16"/>
        </w:numPr>
        <w:spacing w:after="120"/>
        <w:ind w:right="667"/>
        <w:jc w:val="both"/>
      </w:pPr>
      <w:r>
        <w:t>to revoke the licence</w:t>
      </w:r>
      <w:r w:rsidR="004027F3">
        <w:t>;</w:t>
      </w:r>
    </w:p>
    <w:p w:rsidR="00CB373D" w:rsidRDefault="004027F3" w:rsidP="006E2D8A">
      <w:pPr>
        <w:spacing w:after="120"/>
        <w:ind w:left="720" w:right="667"/>
        <w:jc w:val="both"/>
      </w:pPr>
      <w:r>
        <w:t>F</w:t>
      </w:r>
      <w:r w:rsidR="00CB373D" w:rsidRPr="009B0A0D">
        <w:t xml:space="preserve">or this purpose the conditions of the licence are modified if any of them </w:t>
      </w:r>
      <w:r w:rsidR="00CB373D">
        <w:t>are</w:t>
      </w:r>
      <w:r w:rsidR="00CB373D" w:rsidRPr="009B0A0D">
        <w:t xml:space="preserve"> altered or omitted or any new condition added.</w:t>
      </w:r>
    </w:p>
    <w:p w:rsidR="00CB373D" w:rsidRDefault="00CB373D" w:rsidP="006E2D8A">
      <w:pPr>
        <w:spacing w:after="120"/>
        <w:ind w:left="720" w:right="667"/>
        <w:jc w:val="both"/>
      </w:pPr>
      <w:r>
        <w:t xml:space="preserve">If the Panel takes a step mentioned in </w:t>
      </w:r>
      <w:r w:rsidR="006E2D8A">
        <w:t>a</w:t>
      </w:r>
      <w:r>
        <w:t xml:space="preserve"> or </w:t>
      </w:r>
      <w:r w:rsidR="006E2D8A">
        <w:t>b</w:t>
      </w:r>
      <w:r>
        <w:t xml:space="preserve"> of paragraph </w:t>
      </w:r>
      <w:r w:rsidR="006E2D8A">
        <w:t>17</w:t>
      </w:r>
      <w:bookmarkStart w:id="0" w:name="LastEdit"/>
      <w:bookmarkEnd w:id="0"/>
      <w:r>
        <w:t xml:space="preserve"> above, it can specify that the modification or exclusion is to have effect for a period up to three months if it considers this to be appropriate.  </w:t>
      </w:r>
    </w:p>
    <w:p w:rsidR="004027F3" w:rsidRPr="00ED48FF" w:rsidRDefault="004027F3" w:rsidP="006E2D8A">
      <w:pPr>
        <w:spacing w:after="120"/>
        <w:ind w:left="720" w:right="667"/>
        <w:jc w:val="both"/>
      </w:pPr>
    </w:p>
    <w:p w:rsidR="00CB373D" w:rsidRPr="008002C3" w:rsidRDefault="00CB373D" w:rsidP="00033F05">
      <w:pPr>
        <w:pStyle w:val="ListParagraph"/>
        <w:numPr>
          <w:ilvl w:val="0"/>
          <w:numId w:val="14"/>
        </w:numPr>
        <w:spacing w:after="120"/>
        <w:ind w:right="667"/>
        <w:jc w:val="both"/>
      </w:pPr>
      <w:r w:rsidRPr="006E76A2">
        <w:t>It should be noted that –</w:t>
      </w:r>
    </w:p>
    <w:p w:rsidR="00CB373D" w:rsidRDefault="00CB373D" w:rsidP="00033F05">
      <w:pPr>
        <w:pStyle w:val="ListParagraph"/>
        <w:numPr>
          <w:ilvl w:val="0"/>
          <w:numId w:val="17"/>
        </w:numPr>
        <w:ind w:right="142"/>
        <w:jc w:val="both"/>
      </w:pPr>
      <w:r>
        <w:t>c</w:t>
      </w:r>
      <w:r w:rsidRPr="006E76A2">
        <w:t xml:space="preserve">lear reasons </w:t>
      </w:r>
      <w:r>
        <w:t>must be given for the decision;</w:t>
      </w:r>
      <w:r w:rsidR="004027F3">
        <w:t xml:space="preserve"> and</w:t>
      </w:r>
    </w:p>
    <w:p w:rsidR="004027F3" w:rsidRPr="006E76A2" w:rsidRDefault="004027F3" w:rsidP="006E2D8A">
      <w:pPr>
        <w:pStyle w:val="ListParagraph"/>
        <w:ind w:left="1080" w:right="142"/>
        <w:jc w:val="both"/>
      </w:pPr>
    </w:p>
    <w:p w:rsidR="00CB373D" w:rsidRDefault="00CB373D" w:rsidP="00033F05">
      <w:pPr>
        <w:pStyle w:val="ListParagraph"/>
        <w:numPr>
          <w:ilvl w:val="0"/>
          <w:numId w:val="17"/>
        </w:numPr>
        <w:ind w:right="142"/>
        <w:jc w:val="both"/>
      </w:pPr>
      <w:proofErr w:type="gramStart"/>
      <w:r>
        <w:t>a</w:t>
      </w:r>
      <w:r w:rsidRPr="006E76A2">
        <w:t>ny</w:t>
      </w:r>
      <w:proofErr w:type="gramEnd"/>
      <w:r w:rsidRPr="006E76A2">
        <w:t xml:space="preserve"> additional or modified conditions should be </w:t>
      </w:r>
      <w:r>
        <w:t>practicable</w:t>
      </w:r>
      <w:r w:rsidRPr="006E76A2">
        <w:t xml:space="preserve"> and enforceable</w:t>
      </w:r>
      <w:r w:rsidR="004027F3">
        <w:t>.</w:t>
      </w:r>
    </w:p>
    <w:p w:rsidR="004027F3" w:rsidRPr="006E76A2" w:rsidRDefault="004027F3" w:rsidP="006E2D8A">
      <w:pPr>
        <w:pStyle w:val="ListParagraph"/>
        <w:ind w:left="1080" w:right="142"/>
        <w:jc w:val="both"/>
      </w:pPr>
    </w:p>
    <w:p w:rsidR="00CB373D" w:rsidRDefault="00CB373D" w:rsidP="00033F05">
      <w:pPr>
        <w:pStyle w:val="ListParagraph"/>
        <w:numPr>
          <w:ilvl w:val="0"/>
          <w:numId w:val="14"/>
        </w:numPr>
        <w:ind w:right="142"/>
        <w:jc w:val="both"/>
      </w:pPr>
      <w:r>
        <w:lastRenderedPageBreak/>
        <w:t>the applicant for the review, the premises licence holder</w:t>
      </w:r>
      <w:r w:rsidRPr="006E76A2">
        <w:t xml:space="preserve"> and any person who made relevant representations would have the right of appeal to a magistrates’ court on </w:t>
      </w:r>
      <w:r>
        <w:t>one of the grounds provided in s</w:t>
      </w:r>
      <w:r w:rsidRPr="006E76A2">
        <w:t>chedule 5 to the Licensing Act 2003</w:t>
      </w:r>
      <w:r>
        <w:t>.</w:t>
      </w:r>
    </w:p>
    <w:p w:rsidR="00CB373D" w:rsidRDefault="00CB373D" w:rsidP="00033F05">
      <w:pPr>
        <w:ind w:left="851" w:right="142"/>
        <w:jc w:val="both"/>
      </w:pPr>
    </w:p>
    <w:p w:rsidR="00CB373D" w:rsidRDefault="00CB373D" w:rsidP="00033F05">
      <w:pPr>
        <w:pStyle w:val="ListParagraph"/>
        <w:numPr>
          <w:ilvl w:val="0"/>
          <w:numId w:val="14"/>
        </w:numPr>
        <w:ind w:right="142"/>
        <w:jc w:val="both"/>
      </w:pPr>
      <w:r>
        <w:t>In addition to determining the application in accordance with the legislation, Members must have regard to the –</w:t>
      </w:r>
    </w:p>
    <w:p w:rsidR="00CB373D" w:rsidRDefault="00CB373D" w:rsidP="00033F05">
      <w:pPr>
        <w:ind w:left="561" w:right="667"/>
        <w:jc w:val="both"/>
      </w:pPr>
    </w:p>
    <w:p w:rsidR="00CB373D" w:rsidRPr="004027F3" w:rsidRDefault="00CB373D" w:rsidP="00033F05">
      <w:pPr>
        <w:pStyle w:val="ListNumber"/>
        <w:numPr>
          <w:ilvl w:val="0"/>
          <w:numId w:val="18"/>
        </w:numPr>
        <w:spacing w:after="0"/>
      </w:pPr>
      <w:proofErr w:type="gramStart"/>
      <w:r>
        <w:rPr>
          <w:rFonts w:cs="Arial"/>
        </w:rPr>
        <w:t>common</w:t>
      </w:r>
      <w:proofErr w:type="gramEnd"/>
      <w:r>
        <w:rPr>
          <w:rFonts w:cs="Arial"/>
        </w:rPr>
        <w:t xml:space="preserve"> law rules of natural justice (i.e. ensuring a fair and unbiased hearing </w:t>
      </w:r>
      <w:r w:rsidR="00FB0377">
        <w:rPr>
          <w:rFonts w:cs="Arial"/>
        </w:rPr>
        <w:t>etc.</w:t>
      </w:r>
      <w:r>
        <w:rPr>
          <w:rFonts w:cs="Arial"/>
        </w:rPr>
        <w:t>);</w:t>
      </w:r>
    </w:p>
    <w:p w:rsidR="004027F3" w:rsidRDefault="004027F3" w:rsidP="006E2D8A">
      <w:pPr>
        <w:pStyle w:val="ListNumber"/>
        <w:numPr>
          <w:ilvl w:val="0"/>
          <w:numId w:val="0"/>
        </w:numPr>
        <w:spacing w:after="0"/>
        <w:ind w:left="1080"/>
      </w:pPr>
    </w:p>
    <w:p w:rsidR="00CB373D" w:rsidRDefault="00CB373D" w:rsidP="00033F05">
      <w:pPr>
        <w:pStyle w:val="ListNumber"/>
        <w:numPr>
          <w:ilvl w:val="0"/>
          <w:numId w:val="18"/>
        </w:numPr>
        <w:spacing w:after="0"/>
      </w:pPr>
      <w:r>
        <w:t>provisions of the Human Rights Act 1998;</w:t>
      </w:r>
    </w:p>
    <w:p w:rsidR="004027F3" w:rsidRDefault="004027F3" w:rsidP="006E2D8A">
      <w:pPr>
        <w:pStyle w:val="ListNumber"/>
        <w:numPr>
          <w:ilvl w:val="0"/>
          <w:numId w:val="0"/>
        </w:numPr>
        <w:spacing w:after="0"/>
        <w:ind w:left="1080"/>
      </w:pPr>
    </w:p>
    <w:p w:rsidR="00CB373D" w:rsidRDefault="00FB0377" w:rsidP="00033F05">
      <w:pPr>
        <w:pStyle w:val="ListNumber"/>
        <w:numPr>
          <w:ilvl w:val="0"/>
          <w:numId w:val="18"/>
        </w:numPr>
        <w:spacing w:after="0"/>
      </w:pPr>
      <w:r>
        <w:t>Considerations</w:t>
      </w:r>
      <w:r w:rsidR="00CB373D">
        <w:t xml:space="preserve"> in section 17 of the Crime and Disorder Act 1998.</w:t>
      </w:r>
    </w:p>
    <w:p w:rsidR="00CB373D" w:rsidRDefault="00CB373D" w:rsidP="00033F05">
      <w:pPr>
        <w:pStyle w:val="ListNumber"/>
        <w:numPr>
          <w:ilvl w:val="0"/>
          <w:numId w:val="0"/>
        </w:numPr>
        <w:spacing w:after="0"/>
        <w:ind w:left="992"/>
      </w:pPr>
    </w:p>
    <w:p w:rsidR="00CB373D" w:rsidRDefault="00CB373D" w:rsidP="00033F05">
      <w:pPr>
        <w:pStyle w:val="ListNumber"/>
        <w:numPr>
          <w:ilvl w:val="0"/>
          <w:numId w:val="14"/>
        </w:numPr>
        <w:spacing w:after="0"/>
      </w:pPr>
      <w:r>
        <w:t xml:space="preserve">The Panel must also act appropriately with regard to the European Convention for the Protection of Human Rights and Fundamental Freedoms implemented under the Human Rights Act 1998, particularly articles 6 (relating to the right to a fair trial); article 8 (protection of private and family life); and article 1 of the First Protocol (protection of property).    </w:t>
      </w:r>
    </w:p>
    <w:p w:rsidR="00CB373D" w:rsidRDefault="00CB373D" w:rsidP="00033F05">
      <w:pPr>
        <w:pStyle w:val="ListNumber"/>
        <w:numPr>
          <w:ilvl w:val="0"/>
          <w:numId w:val="0"/>
        </w:numPr>
        <w:spacing w:after="0"/>
        <w:ind w:left="-561"/>
      </w:pPr>
    </w:p>
    <w:p w:rsidR="00CB373D" w:rsidRDefault="004027F3" w:rsidP="00033F05">
      <w:pPr>
        <w:pStyle w:val="ListNumber"/>
        <w:numPr>
          <w:ilvl w:val="0"/>
          <w:numId w:val="14"/>
        </w:numPr>
        <w:spacing w:after="0"/>
      </w:pPr>
      <w:r>
        <w:t>As per paragraph 20.b. above, t</w:t>
      </w:r>
      <w:r w:rsidR="00CB373D">
        <w:t>he Panel</w:t>
      </w:r>
      <w:r>
        <w:t xml:space="preserve"> </w:t>
      </w:r>
      <w:r w:rsidR="00CB373D">
        <w:t>must consider section 17 of the Crime and Disorder Act 1998 which states:</w:t>
      </w:r>
    </w:p>
    <w:p w:rsidR="00CB373D" w:rsidRDefault="00CB373D" w:rsidP="00033F05">
      <w:pPr>
        <w:tabs>
          <w:tab w:val="left" w:pos="426"/>
        </w:tabs>
        <w:ind w:left="567" w:right="142"/>
        <w:jc w:val="both"/>
      </w:pPr>
    </w:p>
    <w:p w:rsidR="00CB373D" w:rsidRDefault="00CB373D" w:rsidP="006E2D8A">
      <w:pPr>
        <w:ind w:left="720" w:right="1238"/>
        <w:jc w:val="both"/>
      </w:pPr>
      <w:r>
        <w:t>‘without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w:t>
      </w:r>
    </w:p>
    <w:p w:rsidR="00CB373D" w:rsidRDefault="00CB373D" w:rsidP="00033F05">
      <w:pPr>
        <w:tabs>
          <w:tab w:val="left" w:pos="426"/>
        </w:tabs>
        <w:ind w:left="567" w:right="142"/>
        <w:jc w:val="both"/>
      </w:pPr>
    </w:p>
    <w:p w:rsidR="00CB373D" w:rsidRPr="006E76A2" w:rsidRDefault="00CB373D" w:rsidP="00033F05">
      <w:pPr>
        <w:pStyle w:val="Heading2"/>
        <w:tabs>
          <w:tab w:val="left" w:pos="426"/>
        </w:tabs>
        <w:ind w:left="720"/>
        <w:rPr>
          <w:i/>
        </w:rPr>
      </w:pPr>
      <w:r w:rsidRPr="006E76A2">
        <w:rPr>
          <w:i/>
        </w:rPr>
        <w:t>Financial Implications</w:t>
      </w:r>
    </w:p>
    <w:p w:rsidR="00CB373D" w:rsidRDefault="00CB373D" w:rsidP="00033F05">
      <w:pPr>
        <w:tabs>
          <w:tab w:val="left" w:pos="426"/>
        </w:tabs>
        <w:ind w:left="567" w:right="142"/>
        <w:jc w:val="both"/>
      </w:pPr>
    </w:p>
    <w:p w:rsidR="00CB373D" w:rsidRDefault="00CB373D" w:rsidP="00033F05">
      <w:pPr>
        <w:pStyle w:val="ListParagraph"/>
        <w:numPr>
          <w:ilvl w:val="0"/>
          <w:numId w:val="14"/>
        </w:numPr>
        <w:ind w:right="142"/>
        <w:jc w:val="both"/>
      </w:pPr>
      <w:r w:rsidRPr="006E76A2">
        <w:t xml:space="preserve">There are no financial implications. </w:t>
      </w:r>
    </w:p>
    <w:p w:rsidR="00CB373D" w:rsidRDefault="00CB373D" w:rsidP="00033F05">
      <w:pPr>
        <w:pStyle w:val="Heading2"/>
        <w:tabs>
          <w:tab w:val="left" w:pos="426"/>
        </w:tabs>
        <w:rPr>
          <w:i/>
        </w:rPr>
      </w:pPr>
    </w:p>
    <w:p w:rsidR="00CB373D" w:rsidRPr="00ED48FF" w:rsidRDefault="00CB373D" w:rsidP="00033F05">
      <w:pPr>
        <w:pStyle w:val="Heading2"/>
        <w:tabs>
          <w:tab w:val="left" w:pos="426"/>
        </w:tabs>
        <w:ind w:left="720"/>
        <w:rPr>
          <w:i/>
        </w:rPr>
      </w:pPr>
      <w:r w:rsidRPr="00ED48FF">
        <w:rPr>
          <w:i/>
        </w:rPr>
        <w:t>Appeals</w:t>
      </w:r>
    </w:p>
    <w:p w:rsidR="00CB373D" w:rsidRDefault="00CB373D" w:rsidP="00033F05">
      <w:pPr>
        <w:tabs>
          <w:tab w:val="left" w:pos="426"/>
        </w:tabs>
        <w:ind w:right="142"/>
        <w:jc w:val="both"/>
      </w:pPr>
    </w:p>
    <w:p w:rsidR="00CB373D" w:rsidRPr="006E76A2" w:rsidRDefault="00CB373D" w:rsidP="00033F05">
      <w:pPr>
        <w:pStyle w:val="ListParagraph"/>
        <w:numPr>
          <w:ilvl w:val="0"/>
          <w:numId w:val="14"/>
        </w:numPr>
        <w:tabs>
          <w:tab w:val="left" w:pos="426"/>
        </w:tabs>
        <w:ind w:right="142"/>
        <w:jc w:val="both"/>
      </w:pPr>
      <w:r w:rsidRPr="006E76A2">
        <w:t>If any party is aggrieved with the decision of the licensing panel on</w:t>
      </w:r>
      <w:r>
        <w:t xml:space="preserve"> one of the grounds set out in s</w:t>
      </w:r>
      <w:r w:rsidRPr="006E76A2">
        <w:t xml:space="preserve">chedule 5 to the Licensing </w:t>
      </w:r>
      <w:r>
        <w:t>Act 2003, they can appeal to a M</w:t>
      </w:r>
      <w:r w:rsidRPr="006E76A2">
        <w:t xml:space="preserve">agistrates’ </w:t>
      </w:r>
      <w:r>
        <w:t>Court within 2</w:t>
      </w:r>
      <w:r w:rsidRPr="006E76A2">
        <w:t xml:space="preserve">1 days from notification of the decision. </w:t>
      </w:r>
    </w:p>
    <w:p w:rsidR="006A233E" w:rsidRDefault="006A233E">
      <w:pPr>
        <w:rPr>
          <w:color w:val="0000FF"/>
        </w:rPr>
      </w:pPr>
    </w:p>
    <w:p w:rsidR="001271D4" w:rsidRDefault="001271D4">
      <w:pPr>
        <w:rPr>
          <w:rFonts w:ascii="Arial Black" w:hAnsi="Arial Black" w:cs="Arial"/>
          <w:bCs/>
          <w:sz w:val="32"/>
          <w:szCs w:val="32"/>
        </w:rPr>
      </w:pPr>
      <w:r>
        <w:br w:type="page"/>
      </w:r>
    </w:p>
    <w:p w:rsidR="00911565" w:rsidRDefault="00911565">
      <w:pPr>
        <w:pStyle w:val="Heading1"/>
      </w:pPr>
    </w:p>
    <w:p w:rsidR="006A233E" w:rsidRDefault="006A233E" w:rsidP="001075CF">
      <w:pPr>
        <w:pStyle w:val="Heading1"/>
        <w:keepNext/>
      </w:pPr>
      <w:r>
        <w:t>Section 3 - Statutory Officer Clearance</w:t>
      </w:r>
    </w:p>
    <w:p w:rsidR="006A233E" w:rsidRDefault="006A233E" w:rsidP="001075CF">
      <w:pPr>
        <w:keepNext/>
        <w:rPr>
          <w:rFonts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03"/>
        <w:gridCol w:w="222"/>
        <w:gridCol w:w="3197"/>
      </w:tblGrid>
      <w:tr w:rsidR="006A233E" w:rsidTr="001271D4">
        <w:tc>
          <w:tcPr>
            <w:tcW w:w="2792"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3D0C99">
            <w:pPr>
              <w:pStyle w:val="Infotext"/>
            </w:pPr>
            <w:r>
              <w:t>on behalf of the</w:t>
            </w:r>
          </w:p>
        </w:tc>
      </w:tr>
      <w:tr w:rsidR="006A233E" w:rsidTr="001271D4">
        <w:tc>
          <w:tcPr>
            <w:tcW w:w="2792" w:type="pct"/>
            <w:tcBorders>
              <w:top w:val="nil"/>
              <w:bottom w:val="nil"/>
            </w:tcBorders>
          </w:tcPr>
          <w:p w:rsidR="006A233E" w:rsidRDefault="006A233E" w:rsidP="00CC6BFF">
            <w:pPr>
              <w:pStyle w:val="Infotext"/>
            </w:pPr>
            <w:r>
              <w:t>Name:</w:t>
            </w:r>
            <w:r w:rsidR="001271D4">
              <w:t xml:space="preserve"> Jessie Man</w:t>
            </w:r>
          </w:p>
        </w:tc>
        <w:tc>
          <w:tcPr>
            <w:tcW w:w="138" w:type="pct"/>
            <w:tcBorders>
              <w:bottom w:val="single" w:sz="4" w:space="0" w:color="auto"/>
            </w:tcBorders>
          </w:tcPr>
          <w:p w:rsidR="006A233E" w:rsidRDefault="001271D4">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Chief Financial Officer</w:t>
            </w:r>
          </w:p>
        </w:tc>
      </w:tr>
      <w:tr w:rsidR="006A233E" w:rsidTr="001271D4">
        <w:tc>
          <w:tcPr>
            <w:tcW w:w="2792" w:type="pct"/>
            <w:tcBorders>
              <w:top w:val="nil"/>
              <w:right w:val="nil"/>
            </w:tcBorders>
          </w:tcPr>
          <w:p w:rsidR="006A233E" w:rsidRDefault="006A233E">
            <w:pPr>
              <w:pStyle w:val="Infotext"/>
            </w:pPr>
            <w:r>
              <w:t xml:space="preserve"> </w:t>
            </w:r>
          </w:p>
          <w:p w:rsidR="006A233E" w:rsidRDefault="006A233E" w:rsidP="00CC6BFF">
            <w:pPr>
              <w:pStyle w:val="Infotext"/>
            </w:pPr>
            <w:r>
              <w:t xml:space="preserve">Date: </w:t>
            </w:r>
            <w:r w:rsidR="001271D4">
              <w:t>5 June 2019</w:t>
            </w:r>
            <w:r w:rsidR="00EA1637">
              <w:t xml:space="preserve"> </w:t>
            </w:r>
          </w:p>
        </w:tc>
        <w:tc>
          <w:tcPr>
            <w:tcW w:w="138" w:type="pct"/>
            <w:tcBorders>
              <w:left w:val="nil"/>
              <w:bottom w:val="single" w:sz="4" w:space="0" w:color="auto"/>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tc>
      </w:tr>
      <w:tr w:rsidR="006A233E" w:rsidTr="001271D4">
        <w:tc>
          <w:tcPr>
            <w:tcW w:w="2792" w:type="pct"/>
            <w:tcBorders>
              <w:bottom w:val="nil"/>
              <w:right w:val="nil"/>
            </w:tcBorders>
          </w:tcPr>
          <w:p w:rsidR="006A233E" w:rsidRDefault="006A233E">
            <w:pPr>
              <w:pStyle w:val="Infotext"/>
            </w:pPr>
          </w:p>
          <w:p w:rsidR="006A233E" w:rsidRDefault="006A233E">
            <w:pPr>
              <w:pStyle w:val="Infotext"/>
            </w:pPr>
          </w:p>
        </w:tc>
        <w:tc>
          <w:tcPr>
            <w:tcW w:w="138" w:type="pct"/>
            <w:tcBorders>
              <w:left w:val="nil"/>
              <w:right w:val="nil"/>
            </w:tcBorders>
          </w:tcPr>
          <w:p w:rsidR="006A233E" w:rsidRDefault="006A233E">
            <w:pPr>
              <w:pStyle w:val="Infotext"/>
            </w:pPr>
          </w:p>
        </w:tc>
        <w:tc>
          <w:tcPr>
            <w:tcW w:w="138" w:type="pct"/>
            <w:tcBorders>
              <w:left w:val="nil"/>
              <w:bottom w:val="nil"/>
              <w:right w:val="nil"/>
            </w:tcBorders>
          </w:tcPr>
          <w:p w:rsidR="006A233E" w:rsidRDefault="006A233E">
            <w:pPr>
              <w:pStyle w:val="Infotext"/>
            </w:pPr>
          </w:p>
        </w:tc>
        <w:tc>
          <w:tcPr>
            <w:tcW w:w="1932" w:type="pct"/>
            <w:tcBorders>
              <w:left w:val="nil"/>
              <w:bottom w:val="nil"/>
            </w:tcBorders>
          </w:tcPr>
          <w:p w:rsidR="006A233E" w:rsidRDefault="006A233E">
            <w:pPr>
              <w:pStyle w:val="Infotext"/>
            </w:pPr>
          </w:p>
          <w:p w:rsidR="006A233E" w:rsidRDefault="006A233E" w:rsidP="003D0C99">
            <w:pPr>
              <w:pStyle w:val="Infotext"/>
            </w:pPr>
            <w:r>
              <w:t>on behalf of the</w:t>
            </w:r>
          </w:p>
        </w:tc>
      </w:tr>
      <w:tr w:rsidR="006A233E" w:rsidTr="001271D4">
        <w:tc>
          <w:tcPr>
            <w:tcW w:w="2792" w:type="pct"/>
            <w:tcBorders>
              <w:top w:val="nil"/>
              <w:bottom w:val="nil"/>
            </w:tcBorders>
          </w:tcPr>
          <w:p w:rsidR="006A233E" w:rsidRDefault="006A233E" w:rsidP="00CC6BFF">
            <w:pPr>
              <w:pStyle w:val="Infotext"/>
            </w:pPr>
            <w:r>
              <w:t xml:space="preserve">Name: </w:t>
            </w:r>
            <w:r w:rsidR="00EA1637">
              <w:t xml:space="preserve"> </w:t>
            </w:r>
            <w:r w:rsidR="001271D4">
              <w:t>Andrew Lucas</w:t>
            </w:r>
          </w:p>
        </w:tc>
        <w:tc>
          <w:tcPr>
            <w:tcW w:w="138" w:type="pct"/>
            <w:tcBorders>
              <w:bottom w:val="single" w:sz="4" w:space="0" w:color="auto"/>
            </w:tcBorders>
          </w:tcPr>
          <w:p w:rsidR="006A233E" w:rsidRDefault="001271D4">
            <w:pPr>
              <w:pStyle w:val="Infotext"/>
            </w:pPr>
            <w:r>
              <w:t>X</w:t>
            </w:r>
          </w:p>
        </w:tc>
        <w:tc>
          <w:tcPr>
            <w:tcW w:w="138" w:type="pct"/>
            <w:tcBorders>
              <w:top w:val="nil"/>
              <w:bottom w:val="nil"/>
              <w:right w:val="nil"/>
            </w:tcBorders>
          </w:tcPr>
          <w:p w:rsidR="006A233E" w:rsidRDefault="006A233E">
            <w:pPr>
              <w:pStyle w:val="Infotext"/>
            </w:pPr>
          </w:p>
        </w:tc>
        <w:tc>
          <w:tcPr>
            <w:tcW w:w="1932" w:type="pct"/>
            <w:tcBorders>
              <w:top w:val="nil"/>
              <w:left w:val="nil"/>
              <w:bottom w:val="nil"/>
            </w:tcBorders>
          </w:tcPr>
          <w:p w:rsidR="006A233E" w:rsidRDefault="006A233E">
            <w:pPr>
              <w:pStyle w:val="Infotext"/>
            </w:pPr>
            <w:r>
              <w:t>Monitoring Officer</w:t>
            </w:r>
          </w:p>
        </w:tc>
      </w:tr>
      <w:tr w:rsidR="006A233E" w:rsidTr="001271D4">
        <w:tc>
          <w:tcPr>
            <w:tcW w:w="2792" w:type="pct"/>
            <w:tcBorders>
              <w:top w:val="nil"/>
              <w:right w:val="nil"/>
            </w:tcBorders>
          </w:tcPr>
          <w:p w:rsidR="006A233E" w:rsidRDefault="006A233E">
            <w:pPr>
              <w:pStyle w:val="Infotext"/>
            </w:pPr>
          </w:p>
          <w:p w:rsidR="006A233E" w:rsidRDefault="006A233E" w:rsidP="00CC6BFF">
            <w:pPr>
              <w:pStyle w:val="Infotext"/>
            </w:pPr>
            <w:r>
              <w:t xml:space="preserve">Date: </w:t>
            </w:r>
            <w:r w:rsidR="00EA1637">
              <w:t xml:space="preserve"> </w:t>
            </w:r>
            <w:r w:rsidR="001271D4">
              <w:t>4 June 2019</w:t>
            </w:r>
          </w:p>
        </w:tc>
        <w:tc>
          <w:tcPr>
            <w:tcW w:w="138" w:type="pct"/>
            <w:tcBorders>
              <w:left w:val="nil"/>
              <w:right w:val="nil"/>
            </w:tcBorders>
          </w:tcPr>
          <w:p w:rsidR="006A233E" w:rsidRDefault="006A233E">
            <w:pPr>
              <w:pStyle w:val="Infotext"/>
            </w:pPr>
          </w:p>
        </w:tc>
        <w:tc>
          <w:tcPr>
            <w:tcW w:w="138" w:type="pct"/>
            <w:tcBorders>
              <w:top w:val="nil"/>
              <w:left w:val="nil"/>
              <w:right w:val="nil"/>
            </w:tcBorders>
          </w:tcPr>
          <w:p w:rsidR="006A233E" w:rsidRDefault="006A233E">
            <w:pPr>
              <w:pStyle w:val="Infotext"/>
            </w:pPr>
          </w:p>
        </w:tc>
        <w:tc>
          <w:tcPr>
            <w:tcW w:w="1932" w:type="pct"/>
            <w:tcBorders>
              <w:top w:val="nil"/>
              <w:left w:val="nil"/>
            </w:tcBorders>
          </w:tcPr>
          <w:p w:rsidR="006A233E" w:rsidRDefault="006A233E">
            <w:pPr>
              <w:pStyle w:val="Infotext"/>
            </w:pPr>
          </w:p>
          <w:p w:rsidR="006A233E" w:rsidRDefault="006A233E">
            <w:pPr>
              <w:pStyle w:val="Infotext"/>
            </w:pPr>
          </w:p>
        </w:tc>
      </w:tr>
    </w:tbl>
    <w:p w:rsidR="006A233E" w:rsidRDefault="006A233E">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403"/>
        <w:gridCol w:w="234"/>
        <w:gridCol w:w="3589"/>
      </w:tblGrid>
      <w:tr w:rsidR="00B43855" w:rsidTr="003F4066">
        <w:tc>
          <w:tcPr>
            <w:tcW w:w="4752" w:type="dxa"/>
            <w:tcBorders>
              <w:bottom w:val="nil"/>
              <w:right w:val="nil"/>
            </w:tcBorders>
          </w:tcPr>
          <w:p w:rsidR="00B43855" w:rsidRDefault="00B43855" w:rsidP="003F4066">
            <w:pPr>
              <w:pStyle w:val="Infotext"/>
            </w:pPr>
          </w:p>
          <w:p w:rsidR="00B43855" w:rsidRDefault="00B43855" w:rsidP="003F4066">
            <w:pPr>
              <w:pStyle w:val="Infotext"/>
            </w:pPr>
          </w:p>
        </w:tc>
        <w:tc>
          <w:tcPr>
            <w:tcW w:w="387" w:type="dxa"/>
            <w:tcBorders>
              <w:left w:val="nil"/>
              <w:right w:val="nil"/>
            </w:tcBorders>
          </w:tcPr>
          <w:p w:rsidR="00B43855" w:rsidRDefault="00B43855" w:rsidP="003F4066">
            <w:pPr>
              <w:pStyle w:val="Infotext"/>
            </w:pPr>
          </w:p>
        </w:tc>
        <w:tc>
          <w:tcPr>
            <w:tcW w:w="236" w:type="dxa"/>
            <w:tcBorders>
              <w:left w:val="nil"/>
              <w:bottom w:val="nil"/>
              <w:right w:val="nil"/>
            </w:tcBorders>
          </w:tcPr>
          <w:p w:rsidR="00B43855" w:rsidRDefault="00B43855" w:rsidP="003F4066">
            <w:pPr>
              <w:pStyle w:val="Infotext"/>
            </w:pPr>
          </w:p>
        </w:tc>
        <w:tc>
          <w:tcPr>
            <w:tcW w:w="3890" w:type="dxa"/>
            <w:tcBorders>
              <w:left w:val="nil"/>
              <w:bottom w:val="nil"/>
            </w:tcBorders>
          </w:tcPr>
          <w:p w:rsidR="00B43855" w:rsidRDefault="00B43855" w:rsidP="003F4066">
            <w:pPr>
              <w:pStyle w:val="Infotext"/>
            </w:pPr>
          </w:p>
          <w:p w:rsidR="00B43855" w:rsidRDefault="00B43855" w:rsidP="003F4066">
            <w:pPr>
              <w:pStyle w:val="Infotext"/>
            </w:pPr>
          </w:p>
        </w:tc>
      </w:tr>
      <w:tr w:rsidR="00B43855" w:rsidTr="003F4066">
        <w:tc>
          <w:tcPr>
            <w:tcW w:w="4752" w:type="dxa"/>
            <w:tcBorders>
              <w:top w:val="nil"/>
              <w:bottom w:val="nil"/>
            </w:tcBorders>
          </w:tcPr>
          <w:p w:rsidR="00B43855" w:rsidRDefault="00B43855" w:rsidP="00CC6BFF">
            <w:pPr>
              <w:pStyle w:val="Infotext"/>
            </w:pPr>
            <w:r>
              <w:t xml:space="preserve">Name: </w:t>
            </w:r>
            <w:r w:rsidR="00EA1637">
              <w:t xml:space="preserve"> </w:t>
            </w:r>
            <w:r w:rsidR="001271D4">
              <w:t>Paul Walker</w:t>
            </w:r>
          </w:p>
        </w:tc>
        <w:tc>
          <w:tcPr>
            <w:tcW w:w="387" w:type="dxa"/>
            <w:tcBorders>
              <w:bottom w:val="single" w:sz="4" w:space="0" w:color="auto"/>
            </w:tcBorders>
          </w:tcPr>
          <w:p w:rsidR="00B43855" w:rsidRDefault="001271D4" w:rsidP="003F4066">
            <w:pPr>
              <w:pStyle w:val="Infotext"/>
            </w:pPr>
            <w:r>
              <w:t>X</w:t>
            </w:r>
          </w:p>
        </w:tc>
        <w:tc>
          <w:tcPr>
            <w:tcW w:w="236" w:type="dxa"/>
            <w:tcBorders>
              <w:top w:val="nil"/>
              <w:bottom w:val="nil"/>
              <w:right w:val="nil"/>
            </w:tcBorders>
          </w:tcPr>
          <w:p w:rsidR="00B43855" w:rsidRDefault="00B43855" w:rsidP="003F4066">
            <w:pPr>
              <w:pStyle w:val="Infotext"/>
            </w:pPr>
          </w:p>
        </w:tc>
        <w:tc>
          <w:tcPr>
            <w:tcW w:w="3890" w:type="dxa"/>
            <w:tcBorders>
              <w:top w:val="nil"/>
              <w:left w:val="nil"/>
              <w:bottom w:val="nil"/>
            </w:tcBorders>
          </w:tcPr>
          <w:p w:rsidR="00B43855" w:rsidRDefault="00B43855" w:rsidP="003F4066">
            <w:pPr>
              <w:pStyle w:val="Infotext"/>
            </w:pPr>
            <w:r>
              <w:t>Corporate Director</w:t>
            </w:r>
          </w:p>
        </w:tc>
      </w:tr>
      <w:tr w:rsidR="00B43855" w:rsidTr="003F4066">
        <w:tc>
          <w:tcPr>
            <w:tcW w:w="4752" w:type="dxa"/>
            <w:tcBorders>
              <w:top w:val="nil"/>
              <w:right w:val="nil"/>
            </w:tcBorders>
          </w:tcPr>
          <w:p w:rsidR="00B43855" w:rsidRDefault="00B43855" w:rsidP="003F4066">
            <w:pPr>
              <w:pStyle w:val="Infotext"/>
            </w:pPr>
            <w:r>
              <w:t xml:space="preserve"> </w:t>
            </w:r>
          </w:p>
          <w:p w:rsidR="00B43855" w:rsidRDefault="00B43855" w:rsidP="00CC6BFF">
            <w:pPr>
              <w:pStyle w:val="Infotext"/>
            </w:pPr>
            <w:r>
              <w:t xml:space="preserve">Date: </w:t>
            </w:r>
            <w:r w:rsidR="001271D4">
              <w:t>3 June 2019</w:t>
            </w:r>
            <w:r w:rsidR="00EA1637">
              <w:t xml:space="preserve"> </w:t>
            </w:r>
          </w:p>
        </w:tc>
        <w:tc>
          <w:tcPr>
            <w:tcW w:w="387" w:type="dxa"/>
            <w:tcBorders>
              <w:left w:val="nil"/>
              <w:bottom w:val="single" w:sz="4" w:space="0" w:color="auto"/>
              <w:right w:val="nil"/>
            </w:tcBorders>
          </w:tcPr>
          <w:p w:rsidR="00B43855" w:rsidRDefault="00B43855" w:rsidP="003F4066">
            <w:pPr>
              <w:pStyle w:val="Infotext"/>
            </w:pPr>
          </w:p>
        </w:tc>
        <w:tc>
          <w:tcPr>
            <w:tcW w:w="236" w:type="dxa"/>
            <w:tcBorders>
              <w:top w:val="nil"/>
              <w:left w:val="nil"/>
              <w:right w:val="nil"/>
            </w:tcBorders>
          </w:tcPr>
          <w:p w:rsidR="00B43855" w:rsidRDefault="00B43855" w:rsidP="003F4066">
            <w:pPr>
              <w:pStyle w:val="Infotext"/>
            </w:pPr>
          </w:p>
        </w:tc>
        <w:tc>
          <w:tcPr>
            <w:tcW w:w="3890" w:type="dxa"/>
            <w:tcBorders>
              <w:top w:val="nil"/>
              <w:left w:val="nil"/>
            </w:tcBorders>
          </w:tcPr>
          <w:p w:rsidR="00B43855" w:rsidRDefault="00B43855" w:rsidP="003F4066">
            <w:pPr>
              <w:pStyle w:val="Infotext"/>
            </w:pPr>
          </w:p>
        </w:tc>
      </w:tr>
    </w:tbl>
    <w:p w:rsidR="00B43855" w:rsidRDefault="00B43855"/>
    <w:p w:rsidR="006A233E" w:rsidRDefault="006A23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652B2">
        <w:trPr>
          <w:trHeight w:val="965"/>
        </w:trPr>
        <w:tc>
          <w:tcPr>
            <w:tcW w:w="3025" w:type="pct"/>
            <w:tcBorders>
              <w:right w:val="nil"/>
            </w:tcBorders>
          </w:tcPr>
          <w:p w:rsidR="008652B2" w:rsidRDefault="008652B2" w:rsidP="00830B1F">
            <w:pPr>
              <w:pStyle w:val="Infotext"/>
              <w:rPr>
                <w:rFonts w:ascii="Arial Black" w:hAnsi="Arial Black"/>
              </w:rPr>
            </w:pPr>
          </w:p>
          <w:p w:rsidR="008652B2" w:rsidRDefault="008652B2" w:rsidP="00830B1F">
            <w:pPr>
              <w:pStyle w:val="Infotext"/>
              <w:rPr>
                <w:rFonts w:ascii="Arial Black" w:hAnsi="Arial Black"/>
              </w:rPr>
            </w:pPr>
            <w:r>
              <w:rPr>
                <w:rFonts w:ascii="Arial Black" w:hAnsi="Arial Black"/>
              </w:rPr>
              <w:t>Ward Councillors notified:</w:t>
            </w:r>
          </w:p>
          <w:p w:rsidR="008652B2" w:rsidRPr="00587AB5" w:rsidRDefault="008652B2" w:rsidP="00830B1F">
            <w:pPr>
              <w:pStyle w:val="Infotext"/>
              <w:rPr>
                <w:b/>
                <w:color w:val="FF0000"/>
              </w:rPr>
            </w:pPr>
          </w:p>
        </w:tc>
        <w:tc>
          <w:tcPr>
            <w:tcW w:w="1975" w:type="pct"/>
            <w:tcBorders>
              <w:left w:val="nil"/>
            </w:tcBorders>
          </w:tcPr>
          <w:p w:rsidR="008652B2" w:rsidRDefault="008652B2" w:rsidP="00830B1F">
            <w:pPr>
              <w:pStyle w:val="Infotext"/>
            </w:pPr>
          </w:p>
          <w:p w:rsidR="008652B2" w:rsidRPr="00A406F3" w:rsidRDefault="00D31413" w:rsidP="00830B1F">
            <w:pPr>
              <w:pStyle w:val="Infotext"/>
              <w:spacing w:before="120"/>
              <w:rPr>
                <w:b/>
              </w:rPr>
            </w:pPr>
            <w:r>
              <w:rPr>
                <w:b/>
              </w:rPr>
              <w:t>Yes</w:t>
            </w:r>
          </w:p>
          <w:p w:rsidR="008652B2" w:rsidRPr="003D78F6" w:rsidRDefault="008652B2" w:rsidP="00A47339">
            <w:pPr>
              <w:pStyle w:val="Infotext"/>
              <w:rPr>
                <w:i/>
                <w:sz w:val="24"/>
                <w:szCs w:val="24"/>
              </w:rPr>
            </w:pPr>
          </w:p>
        </w:tc>
      </w:tr>
    </w:tbl>
    <w:p w:rsidR="008652B2" w:rsidRDefault="008652B2"/>
    <w:p w:rsidR="008652B2" w:rsidRDefault="008652B2"/>
    <w:p w:rsidR="006A233E" w:rsidRDefault="006A233E" w:rsidP="001075CF">
      <w:pPr>
        <w:pStyle w:val="Heading1"/>
        <w:keepNext/>
      </w:pPr>
      <w:r>
        <w:t>Section 4 - Contact Details and Background Papers</w:t>
      </w:r>
    </w:p>
    <w:p w:rsidR="006A233E" w:rsidRDefault="006A233E" w:rsidP="001075CF">
      <w:pPr>
        <w:keepNext/>
        <w:rPr>
          <w:rFonts w:cs="Arial"/>
        </w:rPr>
      </w:pPr>
    </w:p>
    <w:p w:rsidR="006A233E" w:rsidRDefault="006A233E" w:rsidP="001075CF">
      <w:pPr>
        <w:keepNext/>
      </w:pPr>
    </w:p>
    <w:p w:rsidR="00CB373D" w:rsidRPr="006E76A2" w:rsidRDefault="006A233E" w:rsidP="00CB373D">
      <w:pPr>
        <w:jc w:val="both"/>
        <w:rPr>
          <w:iCs/>
        </w:rPr>
      </w:pPr>
      <w:r w:rsidRPr="007563D9">
        <w:rPr>
          <w:b/>
        </w:rPr>
        <w:t>Contact:</w:t>
      </w:r>
      <w:r>
        <w:t xml:space="preserve"> </w:t>
      </w:r>
      <w:r w:rsidR="00CB373D">
        <w:t>Richard Le-</w:t>
      </w:r>
      <w:proofErr w:type="spellStart"/>
      <w:r w:rsidR="00CB373D">
        <w:t>Brun</w:t>
      </w:r>
      <w:proofErr w:type="spellEnd"/>
      <w:r w:rsidR="00CB373D">
        <w:t>, Head of Community and Public Protection, Ext. 6267</w:t>
      </w:r>
    </w:p>
    <w:p w:rsidR="006A233E" w:rsidRDefault="006A233E">
      <w:pPr>
        <w:pStyle w:val="Infotext"/>
      </w:pPr>
    </w:p>
    <w:p w:rsidR="006A233E" w:rsidRDefault="006A233E"/>
    <w:p w:rsidR="006A233E" w:rsidRDefault="006A233E" w:rsidP="00E56EC8">
      <w:pPr>
        <w:pStyle w:val="Infotext"/>
      </w:pPr>
      <w:r w:rsidRPr="007563D9">
        <w:rPr>
          <w:b/>
        </w:rPr>
        <w:t>Background Papers:</w:t>
      </w:r>
      <w:r>
        <w:t xml:space="preserve">  </w:t>
      </w:r>
    </w:p>
    <w:p w:rsidR="00CB373D" w:rsidRDefault="00CB373D" w:rsidP="00E56EC8">
      <w:pPr>
        <w:pStyle w:val="Infotext"/>
        <w:rPr>
          <w:sz w:val="24"/>
          <w:szCs w:val="24"/>
        </w:rPr>
      </w:pPr>
      <w:r>
        <w:rPr>
          <w:sz w:val="24"/>
          <w:szCs w:val="24"/>
        </w:rPr>
        <w:t>Revised guidance issued under section 182 of the Licensing Act 2003 (April 2018)</w:t>
      </w:r>
    </w:p>
    <w:p w:rsidR="00CB373D" w:rsidRDefault="003D0C99" w:rsidP="00E56EC8">
      <w:pPr>
        <w:pStyle w:val="Infotext"/>
        <w:rPr>
          <w:sz w:val="24"/>
          <w:szCs w:val="24"/>
        </w:rPr>
      </w:pPr>
      <w:hyperlink r:id="rId10" w:history="1">
        <w:r w:rsidR="00D31413" w:rsidRPr="00B465FC">
          <w:rPr>
            <w:rStyle w:val="Hyperlink"/>
            <w:sz w:val="24"/>
            <w:szCs w:val="24"/>
          </w:rPr>
          <w:t>https://www.gov.uk/government/publications/explanatory-memorandum-revised-guidance-issued-under-s-182-of-licensing-act-2003</w:t>
        </w:r>
      </w:hyperlink>
    </w:p>
    <w:p w:rsidR="00D31413" w:rsidRDefault="00D31413" w:rsidP="00E56EC8">
      <w:pPr>
        <w:pStyle w:val="Infotext"/>
        <w:rPr>
          <w:sz w:val="24"/>
          <w:szCs w:val="24"/>
        </w:rPr>
      </w:pPr>
    </w:p>
    <w:p w:rsidR="00D31413" w:rsidRDefault="00D31413" w:rsidP="00E56EC8">
      <w:pPr>
        <w:pStyle w:val="Infotext"/>
        <w:rPr>
          <w:sz w:val="24"/>
          <w:szCs w:val="24"/>
        </w:rPr>
      </w:pPr>
      <w:r>
        <w:rPr>
          <w:sz w:val="24"/>
          <w:szCs w:val="24"/>
        </w:rPr>
        <w:t>Licensing Act 2003:</w:t>
      </w:r>
    </w:p>
    <w:p w:rsidR="00D31413" w:rsidRDefault="003D0C99" w:rsidP="00E56EC8">
      <w:pPr>
        <w:pStyle w:val="Infotext"/>
        <w:rPr>
          <w:sz w:val="24"/>
          <w:szCs w:val="24"/>
        </w:rPr>
      </w:pPr>
      <w:hyperlink r:id="rId11" w:history="1">
        <w:r w:rsidR="00D31413" w:rsidRPr="00B465FC">
          <w:rPr>
            <w:rStyle w:val="Hyperlink"/>
            <w:sz w:val="24"/>
            <w:szCs w:val="24"/>
          </w:rPr>
          <w:t>http://www.legislation.gov.uk/ukpga/2003/17/contents</w:t>
        </w:r>
      </w:hyperlink>
    </w:p>
    <w:p w:rsidR="00D31413" w:rsidRDefault="00D31413" w:rsidP="00E56EC8">
      <w:pPr>
        <w:pStyle w:val="Infotext"/>
        <w:rPr>
          <w:sz w:val="24"/>
          <w:szCs w:val="24"/>
        </w:rPr>
      </w:pPr>
    </w:p>
    <w:p w:rsidR="00E56EC8" w:rsidRDefault="00E56EC8" w:rsidP="00E56EC8">
      <w:pPr>
        <w:pStyle w:val="Infotext"/>
      </w:pPr>
    </w:p>
    <w:sectPr w:rsidR="00E56EC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055889"/>
    <w:multiLevelType w:val="hybridMultilevel"/>
    <w:tmpl w:val="8A069B8C"/>
    <w:lvl w:ilvl="0" w:tplc="08090001">
      <w:start w:val="1"/>
      <w:numFmt w:val="bullet"/>
      <w:lvlText w:val=""/>
      <w:lvlJc w:val="left"/>
      <w:pPr>
        <w:tabs>
          <w:tab w:val="num" w:pos="2216"/>
        </w:tabs>
        <w:ind w:left="2216" w:hanging="360"/>
      </w:pPr>
      <w:rPr>
        <w:rFonts w:ascii="Symbol" w:hAnsi="Symbol" w:hint="default"/>
      </w:rPr>
    </w:lvl>
    <w:lvl w:ilvl="1" w:tplc="08090003" w:tentative="1">
      <w:start w:val="1"/>
      <w:numFmt w:val="bullet"/>
      <w:lvlText w:val="o"/>
      <w:lvlJc w:val="left"/>
      <w:pPr>
        <w:tabs>
          <w:tab w:val="num" w:pos="2936"/>
        </w:tabs>
        <w:ind w:left="2936" w:hanging="360"/>
      </w:pPr>
      <w:rPr>
        <w:rFonts w:ascii="Courier New" w:hAnsi="Courier New" w:cs="Courier New" w:hint="default"/>
      </w:rPr>
    </w:lvl>
    <w:lvl w:ilvl="2" w:tplc="08090005" w:tentative="1">
      <w:start w:val="1"/>
      <w:numFmt w:val="bullet"/>
      <w:lvlText w:val=""/>
      <w:lvlJc w:val="left"/>
      <w:pPr>
        <w:tabs>
          <w:tab w:val="num" w:pos="3656"/>
        </w:tabs>
        <w:ind w:left="3656" w:hanging="360"/>
      </w:pPr>
      <w:rPr>
        <w:rFonts w:ascii="Wingdings" w:hAnsi="Wingdings" w:hint="default"/>
      </w:rPr>
    </w:lvl>
    <w:lvl w:ilvl="3" w:tplc="08090001" w:tentative="1">
      <w:start w:val="1"/>
      <w:numFmt w:val="bullet"/>
      <w:lvlText w:val=""/>
      <w:lvlJc w:val="left"/>
      <w:pPr>
        <w:tabs>
          <w:tab w:val="num" w:pos="4376"/>
        </w:tabs>
        <w:ind w:left="4376" w:hanging="360"/>
      </w:pPr>
      <w:rPr>
        <w:rFonts w:ascii="Symbol" w:hAnsi="Symbol" w:hint="default"/>
      </w:rPr>
    </w:lvl>
    <w:lvl w:ilvl="4" w:tplc="08090003" w:tentative="1">
      <w:start w:val="1"/>
      <w:numFmt w:val="bullet"/>
      <w:lvlText w:val="o"/>
      <w:lvlJc w:val="left"/>
      <w:pPr>
        <w:tabs>
          <w:tab w:val="num" w:pos="5096"/>
        </w:tabs>
        <w:ind w:left="5096" w:hanging="360"/>
      </w:pPr>
      <w:rPr>
        <w:rFonts w:ascii="Courier New" w:hAnsi="Courier New" w:cs="Courier New" w:hint="default"/>
      </w:rPr>
    </w:lvl>
    <w:lvl w:ilvl="5" w:tplc="08090005" w:tentative="1">
      <w:start w:val="1"/>
      <w:numFmt w:val="bullet"/>
      <w:lvlText w:val=""/>
      <w:lvlJc w:val="left"/>
      <w:pPr>
        <w:tabs>
          <w:tab w:val="num" w:pos="5816"/>
        </w:tabs>
        <w:ind w:left="5816" w:hanging="360"/>
      </w:pPr>
      <w:rPr>
        <w:rFonts w:ascii="Wingdings" w:hAnsi="Wingdings" w:hint="default"/>
      </w:rPr>
    </w:lvl>
    <w:lvl w:ilvl="6" w:tplc="08090001" w:tentative="1">
      <w:start w:val="1"/>
      <w:numFmt w:val="bullet"/>
      <w:lvlText w:val=""/>
      <w:lvlJc w:val="left"/>
      <w:pPr>
        <w:tabs>
          <w:tab w:val="num" w:pos="6536"/>
        </w:tabs>
        <w:ind w:left="6536" w:hanging="360"/>
      </w:pPr>
      <w:rPr>
        <w:rFonts w:ascii="Symbol" w:hAnsi="Symbol" w:hint="default"/>
      </w:rPr>
    </w:lvl>
    <w:lvl w:ilvl="7" w:tplc="08090003" w:tentative="1">
      <w:start w:val="1"/>
      <w:numFmt w:val="bullet"/>
      <w:lvlText w:val="o"/>
      <w:lvlJc w:val="left"/>
      <w:pPr>
        <w:tabs>
          <w:tab w:val="num" w:pos="7256"/>
        </w:tabs>
        <w:ind w:left="7256" w:hanging="360"/>
      </w:pPr>
      <w:rPr>
        <w:rFonts w:ascii="Courier New" w:hAnsi="Courier New" w:cs="Courier New" w:hint="default"/>
      </w:rPr>
    </w:lvl>
    <w:lvl w:ilvl="8" w:tplc="08090005" w:tentative="1">
      <w:start w:val="1"/>
      <w:numFmt w:val="bullet"/>
      <w:lvlText w:val=""/>
      <w:lvlJc w:val="left"/>
      <w:pPr>
        <w:tabs>
          <w:tab w:val="num" w:pos="7976"/>
        </w:tabs>
        <w:ind w:left="7976" w:hanging="360"/>
      </w:pPr>
      <w:rPr>
        <w:rFonts w:ascii="Wingdings" w:hAnsi="Wingdings" w:hint="default"/>
      </w:rPr>
    </w:lvl>
  </w:abstractNum>
  <w:abstractNum w:abstractNumId="2">
    <w:nsid w:val="08C63DB5"/>
    <w:multiLevelType w:val="hybridMultilevel"/>
    <w:tmpl w:val="0A442E1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F03D1"/>
    <w:multiLevelType w:val="hybridMultilevel"/>
    <w:tmpl w:val="1E8081E8"/>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5">
    <w:nsid w:val="11231956"/>
    <w:multiLevelType w:val="multilevel"/>
    <w:tmpl w:val="FC2CDEB8"/>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927"/>
        </w:tabs>
        <w:ind w:left="851" w:hanging="284"/>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C1A7D"/>
    <w:multiLevelType w:val="multilevel"/>
    <w:tmpl w:val="6F9888C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7475713"/>
    <w:multiLevelType w:val="hybridMultilevel"/>
    <w:tmpl w:val="79C63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382704"/>
    <w:multiLevelType w:val="hybridMultilevel"/>
    <w:tmpl w:val="1E26F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58C1B63"/>
    <w:multiLevelType w:val="hybridMultilevel"/>
    <w:tmpl w:val="B360E23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773DFC"/>
    <w:multiLevelType w:val="hybridMultilevel"/>
    <w:tmpl w:val="ACB88572"/>
    <w:lvl w:ilvl="0" w:tplc="ABCEA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77144"/>
    <w:multiLevelType w:val="multilevel"/>
    <w:tmpl w:val="1688A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D744F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17"/>
  </w:num>
  <w:num w:numId="6">
    <w:abstractNumId w:val="11"/>
  </w:num>
  <w:num w:numId="7">
    <w:abstractNumId w:val="6"/>
  </w:num>
  <w:num w:numId="8">
    <w:abstractNumId w:val="5"/>
  </w:num>
  <w:num w:numId="9">
    <w:abstractNumId w:val="1"/>
  </w:num>
  <w:num w:numId="10">
    <w:abstractNumId w:val="15"/>
  </w:num>
  <w:num w:numId="11">
    <w:abstractNumId w:val="4"/>
  </w:num>
  <w:num w:numId="12">
    <w:abstractNumId w:val="7"/>
  </w:num>
  <w:num w:numId="13">
    <w:abstractNumId w:val="16"/>
  </w:num>
  <w:num w:numId="14">
    <w:abstractNumId w:val="8"/>
  </w:num>
  <w:num w:numId="15">
    <w:abstractNumId w:val="13"/>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4/06/2019 16:45"/>
  </w:docVars>
  <w:rsids>
    <w:rsidRoot w:val="002D4B55"/>
    <w:rsid w:val="0002728A"/>
    <w:rsid w:val="0003178C"/>
    <w:rsid w:val="00033F05"/>
    <w:rsid w:val="00034B71"/>
    <w:rsid w:val="000443C5"/>
    <w:rsid w:val="000604A2"/>
    <w:rsid w:val="000731BC"/>
    <w:rsid w:val="000A55A6"/>
    <w:rsid w:val="000C7C66"/>
    <w:rsid w:val="001024BB"/>
    <w:rsid w:val="00104F4B"/>
    <w:rsid w:val="001075CF"/>
    <w:rsid w:val="00111C79"/>
    <w:rsid w:val="001271D4"/>
    <w:rsid w:val="00167D9B"/>
    <w:rsid w:val="001B6D6E"/>
    <w:rsid w:val="001C4C01"/>
    <w:rsid w:val="00297D54"/>
    <w:rsid w:val="002A4446"/>
    <w:rsid w:val="002C0FCA"/>
    <w:rsid w:val="002D4B55"/>
    <w:rsid w:val="002F3847"/>
    <w:rsid w:val="002F391F"/>
    <w:rsid w:val="00335462"/>
    <w:rsid w:val="00335DD6"/>
    <w:rsid w:val="00336EAA"/>
    <w:rsid w:val="003456BD"/>
    <w:rsid w:val="0035081A"/>
    <w:rsid w:val="00370424"/>
    <w:rsid w:val="003A15A7"/>
    <w:rsid w:val="003A253A"/>
    <w:rsid w:val="003B1D56"/>
    <w:rsid w:val="003B7DE3"/>
    <w:rsid w:val="003C1DA8"/>
    <w:rsid w:val="003D0C99"/>
    <w:rsid w:val="00401CEE"/>
    <w:rsid w:val="004027F3"/>
    <w:rsid w:val="004572EA"/>
    <w:rsid w:val="00465254"/>
    <w:rsid w:val="00493F88"/>
    <w:rsid w:val="004A707B"/>
    <w:rsid w:val="004B7FC0"/>
    <w:rsid w:val="00535F7C"/>
    <w:rsid w:val="00545DC3"/>
    <w:rsid w:val="00552B11"/>
    <w:rsid w:val="00587AB5"/>
    <w:rsid w:val="005B4552"/>
    <w:rsid w:val="00601BE5"/>
    <w:rsid w:val="00625D40"/>
    <w:rsid w:val="0066641B"/>
    <w:rsid w:val="006A14A7"/>
    <w:rsid w:val="006A233E"/>
    <w:rsid w:val="006A3B0F"/>
    <w:rsid w:val="006E012E"/>
    <w:rsid w:val="006E2D8A"/>
    <w:rsid w:val="00716981"/>
    <w:rsid w:val="00753426"/>
    <w:rsid w:val="007563D9"/>
    <w:rsid w:val="0075644A"/>
    <w:rsid w:val="007959D0"/>
    <w:rsid w:val="00797772"/>
    <w:rsid w:val="007C71D1"/>
    <w:rsid w:val="007D272A"/>
    <w:rsid w:val="007D2AB0"/>
    <w:rsid w:val="00800679"/>
    <w:rsid w:val="00807DD0"/>
    <w:rsid w:val="00817B28"/>
    <w:rsid w:val="00830B1F"/>
    <w:rsid w:val="00832CC0"/>
    <w:rsid w:val="008652B2"/>
    <w:rsid w:val="00897AD5"/>
    <w:rsid w:val="008B4E8D"/>
    <w:rsid w:val="008C45A2"/>
    <w:rsid w:val="008F0C6A"/>
    <w:rsid w:val="00906C40"/>
    <w:rsid w:val="00907DFD"/>
    <w:rsid w:val="00911565"/>
    <w:rsid w:val="009264CB"/>
    <w:rsid w:val="009462B7"/>
    <w:rsid w:val="009B05ED"/>
    <w:rsid w:val="009E35BF"/>
    <w:rsid w:val="00A2249B"/>
    <w:rsid w:val="00A320CC"/>
    <w:rsid w:val="00A4380F"/>
    <w:rsid w:val="00A47339"/>
    <w:rsid w:val="00A70699"/>
    <w:rsid w:val="00A818E8"/>
    <w:rsid w:val="00AB72E0"/>
    <w:rsid w:val="00AC1C79"/>
    <w:rsid w:val="00AC4D33"/>
    <w:rsid w:val="00B43855"/>
    <w:rsid w:val="00B47140"/>
    <w:rsid w:val="00BB7A89"/>
    <w:rsid w:val="00C24C28"/>
    <w:rsid w:val="00C27CF0"/>
    <w:rsid w:val="00C302C5"/>
    <w:rsid w:val="00CA4255"/>
    <w:rsid w:val="00CB373D"/>
    <w:rsid w:val="00CC6BFF"/>
    <w:rsid w:val="00D31413"/>
    <w:rsid w:val="00D62BA5"/>
    <w:rsid w:val="00D64996"/>
    <w:rsid w:val="00DA1035"/>
    <w:rsid w:val="00DB236C"/>
    <w:rsid w:val="00DD0395"/>
    <w:rsid w:val="00E16E20"/>
    <w:rsid w:val="00E34B6E"/>
    <w:rsid w:val="00E56EC8"/>
    <w:rsid w:val="00EA1637"/>
    <w:rsid w:val="00EC069A"/>
    <w:rsid w:val="00ED49A1"/>
    <w:rsid w:val="00EE1D64"/>
    <w:rsid w:val="00EF10B5"/>
    <w:rsid w:val="00F376AE"/>
    <w:rsid w:val="00F54671"/>
    <w:rsid w:val="00FB0377"/>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 w:type="character" w:styleId="CommentReference">
    <w:name w:val="annotation reference"/>
    <w:basedOn w:val="DefaultParagraphFont"/>
    <w:rsid w:val="00897AD5"/>
    <w:rPr>
      <w:sz w:val="16"/>
      <w:szCs w:val="16"/>
    </w:rPr>
  </w:style>
  <w:style w:type="paragraph" w:styleId="CommentText">
    <w:name w:val="annotation text"/>
    <w:basedOn w:val="Normal"/>
    <w:link w:val="CommentTextChar"/>
    <w:rsid w:val="00897AD5"/>
    <w:rPr>
      <w:sz w:val="20"/>
    </w:rPr>
  </w:style>
  <w:style w:type="character" w:customStyle="1" w:styleId="CommentTextChar">
    <w:name w:val="Comment Text Char"/>
    <w:basedOn w:val="DefaultParagraphFont"/>
    <w:link w:val="CommentText"/>
    <w:rsid w:val="00897AD5"/>
    <w:rPr>
      <w:rFonts w:ascii="Arial" w:hAnsi="Arial"/>
      <w:lang w:eastAsia="en-US"/>
    </w:rPr>
  </w:style>
  <w:style w:type="paragraph" w:styleId="CommentSubject">
    <w:name w:val="annotation subject"/>
    <w:basedOn w:val="CommentText"/>
    <w:next w:val="CommentText"/>
    <w:link w:val="CommentSubjectChar"/>
    <w:rsid w:val="00897AD5"/>
    <w:rPr>
      <w:b/>
      <w:bCs/>
    </w:rPr>
  </w:style>
  <w:style w:type="character" w:customStyle="1" w:styleId="CommentSubjectChar">
    <w:name w:val="Comment Subject Char"/>
    <w:basedOn w:val="CommentTextChar"/>
    <w:link w:val="CommentSubject"/>
    <w:rsid w:val="00897AD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1565"/>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paragraph" w:styleId="BodyTextIndent">
    <w:name w:val="Body Text Indent"/>
    <w:basedOn w:val="Normal"/>
    <w:link w:val="BodyTextIndentChar"/>
    <w:rsid w:val="00CB373D"/>
    <w:pPr>
      <w:spacing w:after="120"/>
      <w:ind w:left="283"/>
    </w:pPr>
  </w:style>
  <w:style w:type="character" w:customStyle="1" w:styleId="BodyTextIndentChar">
    <w:name w:val="Body Text Indent Char"/>
    <w:basedOn w:val="DefaultParagraphFont"/>
    <w:link w:val="BodyTextIndent"/>
    <w:rsid w:val="00CB373D"/>
    <w:rPr>
      <w:rFonts w:ascii="Arial" w:hAnsi="Arial"/>
      <w:sz w:val="24"/>
      <w:lang w:eastAsia="en-US"/>
    </w:rPr>
  </w:style>
  <w:style w:type="paragraph" w:styleId="ListNumber">
    <w:name w:val="List Number"/>
    <w:basedOn w:val="Normal"/>
    <w:rsid w:val="00CB373D"/>
    <w:pPr>
      <w:numPr>
        <w:numId w:val="8"/>
      </w:numPr>
      <w:spacing w:after="180"/>
    </w:pPr>
  </w:style>
  <w:style w:type="paragraph" w:styleId="ListParagraph">
    <w:name w:val="List Paragraph"/>
    <w:basedOn w:val="Normal"/>
    <w:uiPriority w:val="34"/>
    <w:qFormat/>
    <w:rsid w:val="00CB373D"/>
    <w:pPr>
      <w:ind w:left="720"/>
    </w:pPr>
    <w:rPr>
      <w:rFonts w:cs="Arial"/>
      <w:szCs w:val="24"/>
    </w:rPr>
  </w:style>
  <w:style w:type="character" w:styleId="Hyperlink">
    <w:name w:val="Hyperlink"/>
    <w:basedOn w:val="DefaultParagraphFont"/>
    <w:rsid w:val="00D31413"/>
    <w:rPr>
      <w:color w:val="0000FF" w:themeColor="hyperlink"/>
      <w:u w:val="single"/>
    </w:rPr>
  </w:style>
  <w:style w:type="character" w:styleId="FollowedHyperlink">
    <w:name w:val="FollowedHyperlink"/>
    <w:basedOn w:val="DefaultParagraphFont"/>
    <w:rsid w:val="00D31413"/>
    <w:rPr>
      <w:color w:val="800080" w:themeColor="followedHyperlink"/>
      <w:u w:val="single"/>
    </w:rPr>
  </w:style>
  <w:style w:type="character" w:styleId="CommentReference">
    <w:name w:val="annotation reference"/>
    <w:basedOn w:val="DefaultParagraphFont"/>
    <w:rsid w:val="00897AD5"/>
    <w:rPr>
      <w:sz w:val="16"/>
      <w:szCs w:val="16"/>
    </w:rPr>
  </w:style>
  <w:style w:type="paragraph" w:styleId="CommentText">
    <w:name w:val="annotation text"/>
    <w:basedOn w:val="Normal"/>
    <w:link w:val="CommentTextChar"/>
    <w:rsid w:val="00897AD5"/>
    <w:rPr>
      <w:sz w:val="20"/>
    </w:rPr>
  </w:style>
  <w:style w:type="character" w:customStyle="1" w:styleId="CommentTextChar">
    <w:name w:val="Comment Text Char"/>
    <w:basedOn w:val="DefaultParagraphFont"/>
    <w:link w:val="CommentText"/>
    <w:rsid w:val="00897AD5"/>
    <w:rPr>
      <w:rFonts w:ascii="Arial" w:hAnsi="Arial"/>
      <w:lang w:eastAsia="en-US"/>
    </w:rPr>
  </w:style>
  <w:style w:type="paragraph" w:styleId="CommentSubject">
    <w:name w:val="annotation subject"/>
    <w:basedOn w:val="CommentText"/>
    <w:next w:val="CommentText"/>
    <w:link w:val="CommentSubjectChar"/>
    <w:rsid w:val="00897AD5"/>
    <w:rPr>
      <w:b/>
      <w:bCs/>
    </w:rPr>
  </w:style>
  <w:style w:type="character" w:customStyle="1" w:styleId="CommentSubjectChar">
    <w:name w:val="Comment Subject Char"/>
    <w:basedOn w:val="CommentTextChar"/>
    <w:link w:val="CommentSubject"/>
    <w:rsid w:val="00897AD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3/17/contents" TargetMode="External"/><Relationship Id="rId5" Type="http://schemas.openxmlformats.org/officeDocument/2006/relationships/settings" Target="settings.xml"/><Relationship Id="rId10" Type="http://schemas.openxmlformats.org/officeDocument/2006/relationships/hyperlink" Target="https://www.gov.uk/government/publications/explanatory-memorandum-revised-guidance-issued-under-s-182-of-licensing-act-2003"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42E6-9B7B-42FC-958C-3B44ED2A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Miriam Wearing</cp:lastModifiedBy>
  <cp:revision>2</cp:revision>
  <cp:lastPrinted>2009-12-01T15:15:00Z</cp:lastPrinted>
  <dcterms:created xsi:type="dcterms:W3CDTF">2019-06-05T15:09:00Z</dcterms:created>
  <dcterms:modified xsi:type="dcterms:W3CDTF">2019-06-05T15:09:00Z</dcterms:modified>
</cp:coreProperties>
</file>